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1365" w14:textId="053ADCDE" w:rsidR="00014715" w:rsidRDefault="00014715"/>
    <w:p w14:paraId="3E37D597" w14:textId="7F09CA62" w:rsidR="00014715" w:rsidRDefault="00014715"/>
    <w:p w14:paraId="35A60B36" w14:textId="3E08E8F7" w:rsidR="00014715" w:rsidRDefault="00014715"/>
    <w:tbl>
      <w:tblPr>
        <w:tblW w:w="0" w:type="auto"/>
        <w:jc w:val="center"/>
        <w:tblCellMar>
          <w:top w:w="15" w:type="dxa"/>
          <w:left w:w="15" w:type="dxa"/>
          <w:bottom w:w="15" w:type="dxa"/>
          <w:right w:w="15" w:type="dxa"/>
        </w:tblCellMar>
        <w:tblLook w:val="04A0" w:firstRow="1" w:lastRow="0" w:firstColumn="1" w:lastColumn="0" w:noHBand="0" w:noVBand="1"/>
      </w:tblPr>
      <w:tblGrid>
        <w:gridCol w:w="222"/>
        <w:gridCol w:w="2333"/>
        <w:gridCol w:w="10173"/>
        <w:gridCol w:w="222"/>
      </w:tblGrid>
      <w:tr w:rsidR="00014715" w14:paraId="2C298149" w14:textId="77777777" w:rsidTr="00014715">
        <w:trPr>
          <w:trHeight w:val="720"/>
          <w:jc w:val="center"/>
        </w:trPr>
        <w:tc>
          <w:tcPr>
            <w:tcW w:w="0" w:type="auto"/>
            <w:gridSpan w:val="4"/>
            <w:tcBorders>
              <w:top w:val="single" w:sz="4" w:space="0" w:color="000000"/>
              <w:left w:val="single" w:sz="4" w:space="0" w:color="000000"/>
              <w:right w:val="single" w:sz="4" w:space="0" w:color="000000"/>
            </w:tcBorders>
            <w:shd w:val="clear" w:color="auto" w:fill="3B3838"/>
            <w:tcMar>
              <w:top w:w="0" w:type="dxa"/>
              <w:left w:w="108" w:type="dxa"/>
              <w:bottom w:w="0" w:type="dxa"/>
              <w:right w:w="108" w:type="dxa"/>
            </w:tcMar>
            <w:vAlign w:val="center"/>
            <w:hideMark/>
          </w:tcPr>
          <w:p w14:paraId="6040AC94" w14:textId="77777777" w:rsidR="00014715" w:rsidRDefault="00014715">
            <w:pPr>
              <w:pStyle w:val="Heading1"/>
              <w:rPr>
                <w:rFonts w:ascii="Times New Roman" w:hAnsi="Times New Roman"/>
                <w:sz w:val="48"/>
                <w:szCs w:val="48"/>
                <w:lang w:val="en-CA"/>
              </w:rPr>
            </w:pPr>
            <w:r>
              <w:rPr>
                <w:rFonts w:ascii="Calibri" w:hAnsi="Calibri" w:cs="Calibri"/>
                <w:color w:val="FFFFFF"/>
                <w:sz w:val="32"/>
                <w:szCs w:val="32"/>
              </w:rPr>
              <w:t>Generic &amp; Trade Name of Drug: Haloperidol (Haldol, Serenace)</w:t>
            </w:r>
          </w:p>
        </w:tc>
      </w:tr>
      <w:tr w:rsidR="00014715" w14:paraId="05B47DF7" w14:textId="77777777" w:rsidTr="00014715">
        <w:trPr>
          <w:trHeight w:val="621"/>
          <w:jc w:val="center"/>
        </w:trPr>
        <w:tc>
          <w:tcPr>
            <w:tcW w:w="0" w:type="auto"/>
            <w:gridSpan w:val="4"/>
            <w:tcBorders>
              <w:left w:val="single" w:sz="4" w:space="0" w:color="000000"/>
              <w:right w:val="single" w:sz="4" w:space="0" w:color="000000"/>
            </w:tcBorders>
            <w:shd w:val="clear" w:color="auto" w:fill="D0CECE"/>
            <w:tcMar>
              <w:top w:w="0" w:type="dxa"/>
              <w:left w:w="108" w:type="dxa"/>
              <w:bottom w:w="0" w:type="dxa"/>
              <w:right w:w="108" w:type="dxa"/>
            </w:tcMar>
            <w:vAlign w:val="center"/>
            <w:hideMark/>
          </w:tcPr>
          <w:p w14:paraId="4F5186FD" w14:textId="77777777" w:rsidR="00014715" w:rsidRDefault="00014715">
            <w:pPr>
              <w:pStyle w:val="Heading2"/>
            </w:pPr>
            <w:r>
              <w:rPr>
                <w:rFonts w:ascii="Calibri" w:hAnsi="Calibri" w:cs="Calibri"/>
                <w:color w:val="000000"/>
                <w:sz w:val="28"/>
                <w:szCs w:val="28"/>
              </w:rPr>
              <w:t xml:space="preserve">       CLASSIFICATION OF DRUG: Typical Antipsychotics/First-Generation Antipsychotics (FGA)</w:t>
            </w:r>
          </w:p>
        </w:tc>
      </w:tr>
      <w:tr w:rsidR="00014715" w14:paraId="4DD47D2C" w14:textId="77777777" w:rsidTr="00014715">
        <w:trPr>
          <w:trHeight w:val="70"/>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78512F57"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5D9208CD" w14:textId="77777777" w:rsidR="00014715" w:rsidRDefault="00014715">
            <w:pPr>
              <w:pStyle w:val="Heading3"/>
            </w:pPr>
            <w:r>
              <w:rPr>
                <w:rFonts w:ascii="Calibri" w:hAnsi="Calibri" w:cs="Calibri"/>
                <w:color w:val="000000"/>
                <w:sz w:val="22"/>
                <w:szCs w:val="22"/>
              </w:rPr>
              <w:t>Indications/ Therapeutic Effects:</w:t>
            </w:r>
          </w:p>
          <w:p w14:paraId="46688567"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32D28D98" w14:textId="77777777" w:rsidR="00014715" w:rsidRDefault="00014715">
            <w:pPr>
              <w:pStyle w:val="NormalWeb"/>
              <w:spacing w:before="0" w:beforeAutospacing="0" w:after="0" w:afterAutospacing="0"/>
            </w:pPr>
            <w:r>
              <w:rPr>
                <w:color w:val="000000"/>
                <w:sz w:val="22"/>
                <w:szCs w:val="22"/>
              </w:rPr>
              <w:t>Haloperidol decreases excitement in the brain. This drug treats schizophrenia by helping in controlling motor  and verbal tics and is used to treat severe behavior problems in children. This medication helps individuals with psychotic disorders to think more clearly, calm anxiety, and may aid in preventing suicide in those who are likely to harm themselves.</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528EDD81" w14:textId="77777777" w:rsidR="00014715" w:rsidRDefault="00014715"/>
        </w:tc>
      </w:tr>
      <w:tr w:rsidR="00014715" w14:paraId="7008894B"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6BD2DC9F"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13669F39" w14:textId="77777777" w:rsidR="00014715" w:rsidRDefault="00014715">
            <w:pPr>
              <w:pStyle w:val="NormalWeb"/>
              <w:spacing w:before="0" w:beforeAutospacing="0" w:after="0" w:afterAutospacing="0"/>
            </w:pPr>
            <w:r>
              <w:rPr>
                <w:rFonts w:ascii="Calibri" w:hAnsi="Calibri" w:cs="Calibri"/>
                <w:b/>
                <w:bCs/>
                <w:color w:val="000000"/>
                <w:sz w:val="22"/>
                <w:szCs w:val="22"/>
              </w:rPr>
              <w:t>Dosage Range:</w:t>
            </w:r>
          </w:p>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62F71111" w14:textId="77777777" w:rsidR="00014715" w:rsidRDefault="00014715">
            <w:pPr>
              <w:pStyle w:val="NormalWeb"/>
              <w:spacing w:before="0" w:beforeAutospacing="0" w:after="0" w:afterAutospacing="0"/>
            </w:pPr>
            <w:r>
              <w:rPr>
                <w:color w:val="000000"/>
                <w:sz w:val="22"/>
                <w:szCs w:val="22"/>
              </w:rPr>
              <w:t>Tablet: 0.5mg, 1mg, 2mg, 5mg, 10mg, 20mg</w:t>
            </w:r>
          </w:p>
          <w:p w14:paraId="3B569E54" w14:textId="77777777" w:rsidR="00014715" w:rsidRDefault="00014715">
            <w:pPr>
              <w:pStyle w:val="NormalWeb"/>
              <w:spacing w:before="0" w:beforeAutospacing="0" w:after="0" w:afterAutospacing="0"/>
            </w:pPr>
            <w:r>
              <w:rPr>
                <w:color w:val="000000"/>
                <w:sz w:val="22"/>
                <w:szCs w:val="22"/>
              </w:rPr>
              <w:t>Oral concentrate: 2mg/mL</w:t>
            </w:r>
          </w:p>
          <w:p w14:paraId="0504DE9A" w14:textId="77777777" w:rsidR="00014715" w:rsidRDefault="00014715">
            <w:pPr>
              <w:pStyle w:val="NormalWeb"/>
              <w:spacing w:before="0" w:beforeAutospacing="0" w:after="0" w:afterAutospacing="0"/>
            </w:pPr>
            <w:r>
              <w:rPr>
                <w:color w:val="000000"/>
                <w:sz w:val="22"/>
                <w:szCs w:val="22"/>
              </w:rPr>
              <w:t>Injectable solution: 5mg/mL, 50mg/mL, 100mg/mL</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26DC6482" w14:textId="77777777" w:rsidR="00014715" w:rsidRDefault="00014715"/>
        </w:tc>
      </w:tr>
      <w:tr w:rsidR="00014715" w14:paraId="4950C5E4"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1287F9AF"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058276BC" w14:textId="77777777" w:rsidR="00014715" w:rsidRDefault="00014715">
            <w:pPr>
              <w:pStyle w:val="Heading3"/>
            </w:pPr>
            <w:r>
              <w:rPr>
                <w:rFonts w:ascii="Calibri" w:hAnsi="Calibri" w:cs="Calibri"/>
                <w:color w:val="000000"/>
                <w:sz w:val="22"/>
                <w:szCs w:val="22"/>
              </w:rPr>
              <w:t>Routes of Administration:</w:t>
            </w:r>
          </w:p>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7911BAB3" w14:textId="77777777" w:rsidR="00014715" w:rsidRDefault="00014715">
            <w:pPr>
              <w:pStyle w:val="NormalWeb"/>
              <w:spacing w:before="0" w:beforeAutospacing="0" w:after="0" w:afterAutospacing="0"/>
            </w:pPr>
            <w:r>
              <w:rPr>
                <w:color w:val="000000"/>
                <w:sz w:val="22"/>
                <w:szCs w:val="22"/>
              </w:rPr>
              <w:t>PO, IM, IV</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38344BE8" w14:textId="77777777" w:rsidR="00014715" w:rsidRDefault="00014715"/>
        </w:tc>
      </w:tr>
      <w:tr w:rsidR="00014715" w14:paraId="73537BC9"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3AC4A806"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256ED31C" w14:textId="77777777" w:rsidR="00014715" w:rsidRDefault="00014715"/>
          <w:p w14:paraId="27A5A65A" w14:textId="77777777" w:rsidR="00014715" w:rsidRDefault="00014715">
            <w:pPr>
              <w:pStyle w:val="Heading3"/>
            </w:pPr>
            <w:r>
              <w:rPr>
                <w:rFonts w:ascii="Calibri" w:hAnsi="Calibri" w:cs="Calibri"/>
                <w:color w:val="000000"/>
                <w:sz w:val="22"/>
                <w:szCs w:val="22"/>
              </w:rPr>
              <w:t>Pharmacokinetics:</w:t>
            </w:r>
          </w:p>
          <w:p w14:paraId="18EB819F"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1DD869B6" w14:textId="77777777" w:rsidR="00014715" w:rsidRDefault="00014715">
            <w:pPr>
              <w:pStyle w:val="NormalWeb"/>
              <w:spacing w:before="0" w:beforeAutospacing="0" w:after="0" w:afterAutospacing="0"/>
            </w:pPr>
            <w:r>
              <w:rPr>
                <w:color w:val="000000"/>
                <w:sz w:val="22"/>
                <w:szCs w:val="22"/>
              </w:rPr>
              <w:t xml:space="preserve">The mechanism of action of haloperidol is </w:t>
            </w:r>
            <w:proofErr w:type="spellStart"/>
            <w:r>
              <w:rPr>
                <w:color w:val="000000"/>
                <w:sz w:val="22"/>
                <w:szCs w:val="22"/>
              </w:rPr>
              <w:t>phenylbutylpiperadine</w:t>
            </w:r>
            <w:proofErr w:type="spellEnd"/>
            <w:r>
              <w:rPr>
                <w:color w:val="000000"/>
                <w:sz w:val="22"/>
                <w:szCs w:val="22"/>
              </w:rPr>
              <w:t xml:space="preserve"> which antagonizes dopamine D1 and D2 receptors in brain, depresses reticular activating system and inhibits release of hypothalamic and hypophyseal hormones. The peak plasma time is 2-6 hours for PO administration, 10-20 minutes with IM injections and 6-7 days with decanoate. Haloperidol is metabolized by hepatic P450 enzyme CYP3A4, which breaks it down into the metabolite </w:t>
            </w:r>
            <w:proofErr w:type="spellStart"/>
            <w:r>
              <w:rPr>
                <w:color w:val="000000"/>
                <w:sz w:val="22"/>
                <w:szCs w:val="22"/>
              </w:rPr>
              <w:t>hydroxyhaloperidol</w:t>
            </w:r>
            <w:proofErr w:type="spellEnd"/>
            <w:r>
              <w:rPr>
                <w:color w:val="000000"/>
                <w:sz w:val="22"/>
                <w:szCs w:val="22"/>
              </w:rPr>
              <w:t>. One enzymes that this medication inhibits is CYP2D6. The half-life of this medication is 18 hours and 3 weeks if decanoate. This drug is excreted 30% via urine and 15% in feces.</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125C2065" w14:textId="77777777" w:rsidR="00014715" w:rsidRDefault="00014715"/>
        </w:tc>
      </w:tr>
      <w:tr w:rsidR="00014715" w14:paraId="7D08A565"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64C0B797"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50501982" w14:textId="77777777" w:rsidR="00014715" w:rsidRDefault="00014715">
            <w:pPr>
              <w:pStyle w:val="Heading3"/>
            </w:pPr>
            <w:r>
              <w:rPr>
                <w:rFonts w:ascii="Calibri" w:hAnsi="Calibri" w:cs="Calibri"/>
                <w:color w:val="000000"/>
                <w:sz w:val="22"/>
                <w:szCs w:val="22"/>
              </w:rPr>
              <w:t>Nursing Implications/ Assessments: </w:t>
            </w:r>
          </w:p>
          <w:p w14:paraId="2BEF8185"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1E48975F" w14:textId="77777777" w:rsidR="00014715" w:rsidRDefault="00014715">
            <w:pPr>
              <w:pStyle w:val="NormalWeb"/>
              <w:spacing w:before="0" w:beforeAutospacing="0" w:after="0" w:afterAutospacing="0"/>
            </w:pPr>
            <w:r>
              <w:rPr>
                <w:color w:val="000000"/>
                <w:sz w:val="22"/>
                <w:szCs w:val="22"/>
              </w:rPr>
              <w:t xml:space="preserve">Monitor for therapeutic effectiveness. Because of long half-life, therapeutic effects are slow to develop in early therapy or when dosing amount is changed. Target symptoms expected to decrease with successful haloperidol treatment are hallucinations, insomnia, hostility, agitation, and delusions. The patient's mental status should be frequently monitored. Monitor for symptoms of NMS as they can appear suddenly after beginning this medication. Risk of tardive dyskinesia appears to be greater in women receiving high doses and in older adults, this disorder can also occur after long-term therapy and even after therapy is discontinued. Monitor for extrapyramidal reactions that occur frequently during the first few days of treatment. These symptoms can be controlled either by a reduction or concomitant administration of </w:t>
            </w:r>
            <w:proofErr w:type="spellStart"/>
            <w:r>
              <w:rPr>
                <w:color w:val="000000"/>
                <w:sz w:val="22"/>
                <w:szCs w:val="22"/>
              </w:rPr>
              <w:t>antiparkinson</w:t>
            </w:r>
            <w:proofErr w:type="spellEnd"/>
            <w:r>
              <w:rPr>
                <w:color w:val="000000"/>
                <w:sz w:val="22"/>
                <w:szCs w:val="22"/>
              </w:rPr>
              <w:t xml:space="preserve"> drugs. Depression may represent a drug adverse effect or reversion from a manic state. Lab tests to consider when monitoring a patient on this drug include;  WBC count with differential and liver function if patients are on prolonged therapy.</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61E3D8FF" w14:textId="77777777" w:rsidR="00014715" w:rsidRDefault="00014715"/>
        </w:tc>
      </w:tr>
      <w:tr w:rsidR="00014715" w14:paraId="4998C7D6"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4FBE1012"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497B7075" w14:textId="77777777" w:rsidR="00014715" w:rsidRDefault="00014715">
            <w:pPr>
              <w:pStyle w:val="NormalWeb"/>
              <w:spacing w:before="0" w:beforeAutospacing="0" w:after="0" w:afterAutospacing="0"/>
            </w:pPr>
            <w:r>
              <w:rPr>
                <w:rFonts w:ascii="Calibri" w:hAnsi="Calibri" w:cs="Calibri"/>
                <w:b/>
                <w:bCs/>
                <w:color w:val="000000"/>
                <w:sz w:val="22"/>
                <w:szCs w:val="22"/>
              </w:rPr>
              <w:t>Side/ Adverse Effects:</w:t>
            </w:r>
          </w:p>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1F962441" w14:textId="77777777" w:rsidR="00014715" w:rsidRDefault="00014715">
            <w:pPr>
              <w:pStyle w:val="NormalWeb"/>
              <w:spacing w:before="0" w:beforeAutospacing="0" w:after="0" w:afterAutospacing="0"/>
            </w:pPr>
            <w:r>
              <w:rPr>
                <w:color w:val="000000"/>
                <w:sz w:val="22"/>
                <w:szCs w:val="22"/>
              </w:rPr>
              <w:t xml:space="preserve">Extrapyramidal symptoms this FGA causes includes; akathisia, dystonia, muscle stiffness, neuroleptic malignant syndrome, parkinsonism, and tardive dyskinesia. Common side effects seen with this medication are; </w:t>
            </w:r>
            <w:r>
              <w:rPr>
                <w:color w:val="000000"/>
                <w:sz w:val="22"/>
                <w:szCs w:val="22"/>
              </w:rPr>
              <w:lastRenderedPageBreak/>
              <w:t xml:space="preserve">anticholinergic effects, sedation, weight gain, erectile dysfunction, and oligomenorrhea or amenorrhea. Less common side effects are; orthostatic hypotension (after IM injection), tachycardia, agitation, anxiety, cerebral edema, depression, dizziness, euphoria, headache, insomnia, </w:t>
            </w:r>
            <w:proofErr w:type="spellStart"/>
            <w:r>
              <w:rPr>
                <w:color w:val="000000"/>
                <w:sz w:val="22"/>
                <w:szCs w:val="22"/>
              </w:rPr>
              <w:t>poikilothermia</w:t>
            </w:r>
            <w:proofErr w:type="spellEnd"/>
            <w:r>
              <w:rPr>
                <w:color w:val="000000"/>
                <w:sz w:val="22"/>
                <w:szCs w:val="22"/>
              </w:rPr>
              <w:t>, restlessness, weakness, confusion anorexia, constipation, dyspepsia, ileus, decreased gag reflex, and possibly even lens opacities. It is uncommon but possible that haloperidol causes ECG changes, photosensitivity, pruritus, diarrhea, blood dyscrasia, ejaculatory disorder, galactorrhea, and even more rare; seizures, cholestatic jaundice, and priapism.</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5DF98CBB" w14:textId="77777777" w:rsidR="00014715" w:rsidRDefault="00014715"/>
        </w:tc>
      </w:tr>
      <w:tr w:rsidR="00014715" w14:paraId="188B4740"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053737C9"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3263C1BC" w14:textId="77777777" w:rsidR="00014715" w:rsidRDefault="00014715">
            <w:pPr>
              <w:pStyle w:val="Heading3"/>
            </w:pPr>
            <w:r>
              <w:rPr>
                <w:rFonts w:ascii="Calibri" w:hAnsi="Calibri" w:cs="Calibri"/>
                <w:color w:val="000000"/>
                <w:sz w:val="22"/>
                <w:szCs w:val="22"/>
              </w:rPr>
              <w:t>Contraindications:</w:t>
            </w:r>
          </w:p>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380C071D" w14:textId="77777777" w:rsidR="00014715" w:rsidRDefault="00014715">
            <w:pPr>
              <w:pStyle w:val="NormalWeb"/>
              <w:spacing w:before="0" w:beforeAutospacing="0" w:after="0" w:afterAutospacing="0"/>
            </w:pPr>
            <w:r>
              <w:rPr>
                <w:color w:val="000000"/>
                <w:sz w:val="22"/>
                <w:szCs w:val="22"/>
              </w:rPr>
              <w:t xml:space="preserve">Haldol is contraindicated with the following medications as it is likely to increase QTc intervals; pentamidine, pimozide, procainamide, quinidine, sotalol, </w:t>
            </w:r>
            <w:proofErr w:type="spellStart"/>
            <w:r>
              <w:rPr>
                <w:color w:val="000000"/>
                <w:sz w:val="22"/>
                <w:szCs w:val="22"/>
              </w:rPr>
              <w:t>ibutilide</w:t>
            </w:r>
            <w:proofErr w:type="spellEnd"/>
            <w:r>
              <w:rPr>
                <w:color w:val="000000"/>
                <w:sz w:val="22"/>
                <w:szCs w:val="22"/>
              </w:rPr>
              <w:t xml:space="preserve">, indapamide, disopyramide. There are also contraindications with haloperidol and the medications; eliglustat, </w:t>
            </w:r>
            <w:proofErr w:type="spellStart"/>
            <w:r>
              <w:rPr>
                <w:color w:val="000000"/>
                <w:sz w:val="22"/>
                <w:szCs w:val="22"/>
              </w:rPr>
              <w:t>flibanserin</w:t>
            </w:r>
            <w:proofErr w:type="spellEnd"/>
            <w:r>
              <w:rPr>
                <w:color w:val="000000"/>
                <w:sz w:val="22"/>
                <w:szCs w:val="22"/>
              </w:rPr>
              <w:t xml:space="preserve">, </w:t>
            </w:r>
            <w:proofErr w:type="spellStart"/>
            <w:r>
              <w:rPr>
                <w:color w:val="000000"/>
                <w:sz w:val="22"/>
                <w:szCs w:val="22"/>
              </w:rPr>
              <w:t>lefamulin</w:t>
            </w:r>
            <w:proofErr w:type="spellEnd"/>
            <w:r>
              <w:rPr>
                <w:color w:val="000000"/>
                <w:sz w:val="22"/>
                <w:szCs w:val="22"/>
              </w:rPr>
              <w:t xml:space="preserve">, </w:t>
            </w:r>
            <w:proofErr w:type="spellStart"/>
            <w:r>
              <w:rPr>
                <w:color w:val="000000"/>
                <w:sz w:val="22"/>
                <w:szCs w:val="22"/>
              </w:rPr>
              <w:t>lomitapide</w:t>
            </w:r>
            <w:proofErr w:type="spellEnd"/>
            <w:r>
              <w:rPr>
                <w:color w:val="000000"/>
                <w:sz w:val="22"/>
                <w:szCs w:val="22"/>
              </w:rPr>
              <w:t>, and lonafarnib. Other contraindications include; documented hypersensitivity, severe toxic central nervous system depression or comatose states from any cause, Parkinson disease, and dementia with Lewy bodies.</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4079B7C1" w14:textId="77777777" w:rsidR="00014715" w:rsidRDefault="00014715"/>
        </w:tc>
      </w:tr>
      <w:tr w:rsidR="00014715" w14:paraId="47C5AD0C" w14:textId="77777777" w:rsidTr="00014715">
        <w:trPr>
          <w:trHeight w:val="374"/>
          <w:jc w:val="center"/>
        </w:trPr>
        <w:tc>
          <w:tcPr>
            <w:tcW w:w="0" w:type="auto"/>
            <w:tcBorders>
              <w:left w:val="single" w:sz="4" w:space="0" w:color="000000"/>
              <w:right w:val="single" w:sz="18" w:space="0" w:color="A6A6A6"/>
            </w:tcBorders>
            <w:shd w:val="clear" w:color="auto" w:fill="D0CECE"/>
            <w:tcMar>
              <w:top w:w="0" w:type="dxa"/>
              <w:left w:w="108" w:type="dxa"/>
              <w:bottom w:w="0" w:type="dxa"/>
              <w:right w:w="108" w:type="dxa"/>
            </w:tcMar>
            <w:hideMark/>
          </w:tcPr>
          <w:p w14:paraId="32391773"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53456F44" w14:textId="77777777" w:rsidR="00014715" w:rsidRDefault="00014715">
            <w:pPr>
              <w:pStyle w:val="Heading3"/>
            </w:pPr>
            <w:r>
              <w:rPr>
                <w:rFonts w:ascii="Calibri" w:hAnsi="Calibri" w:cs="Calibri"/>
                <w:color w:val="000000"/>
                <w:sz w:val="22"/>
                <w:szCs w:val="22"/>
              </w:rPr>
              <w:t>Client Teaching:</w:t>
            </w:r>
          </w:p>
          <w:p w14:paraId="29CA7166" w14:textId="77777777" w:rsidR="00014715" w:rsidRDefault="00014715"/>
        </w:tc>
        <w:tc>
          <w:tcPr>
            <w:tcW w:w="0" w:type="auto"/>
            <w:tcBorders>
              <w:top w:val="single" w:sz="18" w:space="0" w:color="A6A6A6"/>
              <w:left w:val="single" w:sz="18" w:space="0" w:color="A6A6A6"/>
              <w:bottom w:val="single" w:sz="18" w:space="0" w:color="A6A6A6"/>
              <w:right w:val="single" w:sz="18" w:space="0" w:color="A6A6A6"/>
            </w:tcBorders>
            <w:shd w:val="clear" w:color="auto" w:fill="D9D9D9"/>
            <w:tcMar>
              <w:top w:w="0" w:type="dxa"/>
              <w:left w:w="108" w:type="dxa"/>
              <w:bottom w:w="0" w:type="dxa"/>
              <w:right w:w="108" w:type="dxa"/>
            </w:tcMar>
            <w:vAlign w:val="center"/>
            <w:hideMark/>
          </w:tcPr>
          <w:p w14:paraId="566D2CE5" w14:textId="77777777" w:rsidR="00014715" w:rsidRDefault="00014715">
            <w:pPr>
              <w:pStyle w:val="NormalWeb"/>
              <w:spacing w:before="0" w:beforeAutospacing="0" w:after="0" w:afterAutospacing="0"/>
            </w:pPr>
            <w:r>
              <w:rPr>
                <w:color w:val="000000"/>
                <w:sz w:val="22"/>
                <w:szCs w:val="22"/>
              </w:rPr>
              <w:t>If you miss a dose, take it as soon as you remember. If it is near the time of the next dose, skip the missed dose. Take your next dose at the regular time. Do not double the dose to catch up. It may take several weeks before symptoms improve in your patient, instruct your patient to keep using the medication as directed. </w:t>
            </w:r>
          </w:p>
        </w:tc>
        <w:tc>
          <w:tcPr>
            <w:tcW w:w="0" w:type="auto"/>
            <w:tcBorders>
              <w:left w:val="single" w:sz="18" w:space="0" w:color="A6A6A6"/>
              <w:right w:val="single" w:sz="4" w:space="0" w:color="000000"/>
            </w:tcBorders>
            <w:shd w:val="clear" w:color="auto" w:fill="D0CECE"/>
            <w:tcMar>
              <w:top w:w="0" w:type="dxa"/>
              <w:left w:w="108" w:type="dxa"/>
              <w:bottom w:w="0" w:type="dxa"/>
              <w:right w:w="108" w:type="dxa"/>
            </w:tcMar>
            <w:hideMark/>
          </w:tcPr>
          <w:p w14:paraId="35603B0A" w14:textId="77777777" w:rsidR="00014715" w:rsidRDefault="00014715"/>
        </w:tc>
      </w:tr>
      <w:tr w:rsidR="00014715" w14:paraId="58C7E742" w14:textId="77777777" w:rsidTr="00014715">
        <w:trPr>
          <w:trHeight w:val="374"/>
          <w:jc w:val="center"/>
        </w:trPr>
        <w:tc>
          <w:tcPr>
            <w:tcW w:w="0" w:type="auto"/>
            <w:tcBorders>
              <w:left w:val="single" w:sz="4" w:space="0" w:color="000000"/>
              <w:bottom w:val="single" w:sz="4" w:space="0" w:color="000000"/>
              <w:right w:val="single" w:sz="18" w:space="0" w:color="A6A6A6"/>
            </w:tcBorders>
            <w:shd w:val="clear" w:color="auto" w:fill="D0CECE"/>
            <w:tcMar>
              <w:top w:w="0" w:type="dxa"/>
              <w:left w:w="108" w:type="dxa"/>
              <w:bottom w:w="0" w:type="dxa"/>
              <w:right w:w="108" w:type="dxa"/>
            </w:tcMar>
            <w:hideMark/>
          </w:tcPr>
          <w:p w14:paraId="058C8AF7" w14:textId="77777777" w:rsidR="00014715" w:rsidRDefault="00014715"/>
        </w:tc>
        <w:tc>
          <w:tcPr>
            <w:tcW w:w="0" w:type="auto"/>
            <w:tcBorders>
              <w:top w:val="single" w:sz="18" w:space="0" w:color="A6A6A6"/>
              <w:left w:val="single" w:sz="18" w:space="0" w:color="A6A6A6"/>
              <w:bottom w:val="single" w:sz="4" w:space="0" w:color="000000"/>
              <w:right w:val="single" w:sz="18" w:space="0" w:color="A6A6A6"/>
            </w:tcBorders>
            <w:shd w:val="clear" w:color="auto" w:fill="D9D9D9"/>
            <w:tcMar>
              <w:top w:w="0" w:type="dxa"/>
              <w:left w:w="108" w:type="dxa"/>
              <w:bottom w:w="0" w:type="dxa"/>
              <w:right w:w="108" w:type="dxa"/>
            </w:tcMar>
            <w:vAlign w:val="center"/>
            <w:hideMark/>
          </w:tcPr>
          <w:p w14:paraId="7BBBE4E4" w14:textId="77777777" w:rsidR="00014715" w:rsidRDefault="00014715">
            <w:pPr>
              <w:pStyle w:val="Heading3"/>
            </w:pPr>
            <w:r>
              <w:rPr>
                <w:rFonts w:ascii="Calibri" w:hAnsi="Calibri" w:cs="Calibri"/>
                <w:color w:val="000000"/>
                <w:sz w:val="22"/>
                <w:szCs w:val="22"/>
              </w:rPr>
              <w:t>Other: </w:t>
            </w:r>
          </w:p>
          <w:p w14:paraId="724903C0" w14:textId="77777777" w:rsidR="00014715" w:rsidRDefault="00014715"/>
        </w:tc>
        <w:tc>
          <w:tcPr>
            <w:tcW w:w="0" w:type="auto"/>
            <w:tcBorders>
              <w:top w:val="single" w:sz="18" w:space="0" w:color="A6A6A6"/>
              <w:left w:val="single" w:sz="18" w:space="0" w:color="A6A6A6"/>
              <w:bottom w:val="single" w:sz="4" w:space="0" w:color="000000"/>
              <w:right w:val="single" w:sz="18" w:space="0" w:color="A6A6A6"/>
            </w:tcBorders>
            <w:shd w:val="clear" w:color="auto" w:fill="D9D9D9"/>
            <w:tcMar>
              <w:top w:w="0" w:type="dxa"/>
              <w:left w:w="108" w:type="dxa"/>
              <w:bottom w:w="0" w:type="dxa"/>
              <w:right w:w="108" w:type="dxa"/>
            </w:tcMar>
            <w:vAlign w:val="center"/>
            <w:hideMark/>
          </w:tcPr>
          <w:p w14:paraId="7621BF94" w14:textId="77777777" w:rsidR="00014715" w:rsidRDefault="00014715">
            <w:pPr>
              <w:pStyle w:val="NormalWeb"/>
              <w:spacing w:before="0" w:beforeAutospacing="0" w:after="0" w:afterAutospacing="0"/>
            </w:pPr>
            <w:r>
              <w:rPr>
                <w:color w:val="000000"/>
                <w:sz w:val="22"/>
                <w:szCs w:val="22"/>
              </w:rPr>
              <w:t>Black Box Warnings: patients with dementia-related psychosis who are treated with antipsychotic drugs are at an increased risk for death. Not approved for treatment of patients with dementia-related psychosis</w:t>
            </w:r>
          </w:p>
        </w:tc>
        <w:tc>
          <w:tcPr>
            <w:tcW w:w="0" w:type="auto"/>
            <w:tcBorders>
              <w:left w:val="single" w:sz="18" w:space="0" w:color="A6A6A6"/>
              <w:bottom w:val="single" w:sz="4" w:space="0" w:color="000000"/>
              <w:right w:val="single" w:sz="4" w:space="0" w:color="000000"/>
            </w:tcBorders>
            <w:shd w:val="clear" w:color="auto" w:fill="D0CECE"/>
            <w:tcMar>
              <w:top w:w="0" w:type="dxa"/>
              <w:left w:w="108" w:type="dxa"/>
              <w:bottom w:w="0" w:type="dxa"/>
              <w:right w:w="108" w:type="dxa"/>
            </w:tcMar>
            <w:hideMark/>
          </w:tcPr>
          <w:p w14:paraId="07BF8116" w14:textId="77777777" w:rsidR="00014715" w:rsidRDefault="00014715"/>
        </w:tc>
      </w:tr>
    </w:tbl>
    <w:p w14:paraId="76DE171B" w14:textId="77777777" w:rsidR="00014715" w:rsidRDefault="00014715"/>
    <w:p w14:paraId="1D932C2D" w14:textId="77777777" w:rsidR="0048006D" w:rsidRDefault="0048006D"/>
    <w:sectPr w:rsidR="0048006D" w:rsidSect="002A7C8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80"/>
    <w:rsid w:val="00014715"/>
    <w:rsid w:val="002A7C80"/>
    <w:rsid w:val="0048006D"/>
    <w:rsid w:val="00DE1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76900E"/>
  <w15:chartTrackingRefBased/>
  <w15:docId w15:val="{22BEFA9A-97F5-AC47-94EB-04B79493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80"/>
    <w:rPr>
      <w:rFonts w:ascii="Calibri" w:hAnsi="Calibri"/>
      <w:sz w:val="18"/>
      <w:szCs w:val="18"/>
      <w:lang w:val="en-US"/>
    </w:rPr>
  </w:style>
  <w:style w:type="paragraph" w:styleId="Heading1">
    <w:name w:val="heading 1"/>
    <w:basedOn w:val="Normal"/>
    <w:next w:val="Normal"/>
    <w:link w:val="Heading1Char"/>
    <w:uiPriority w:val="9"/>
    <w:qFormat/>
    <w:rsid w:val="002A7C80"/>
    <w:pPr>
      <w:jc w:val="center"/>
      <w:outlineLvl w:val="0"/>
    </w:pPr>
    <w:rPr>
      <w:rFonts w:asciiTheme="majorHAnsi" w:eastAsia="Times New Roman" w:hAnsiTheme="majorHAnsi" w:cs="Tahoma"/>
      <w:b/>
      <w:color w:val="FFFFFF" w:themeColor="background1"/>
      <w:sz w:val="28"/>
      <w:szCs w:val="28"/>
    </w:rPr>
  </w:style>
  <w:style w:type="paragraph" w:styleId="Heading2">
    <w:name w:val="heading 2"/>
    <w:basedOn w:val="Normal"/>
    <w:next w:val="Normal"/>
    <w:link w:val="Heading2Char"/>
    <w:uiPriority w:val="9"/>
    <w:unhideWhenUsed/>
    <w:qFormat/>
    <w:rsid w:val="002A7C80"/>
    <w:pPr>
      <w:jc w:val="center"/>
      <w:outlineLvl w:val="1"/>
    </w:pPr>
    <w:rPr>
      <w:rFonts w:asciiTheme="majorHAnsi" w:hAnsiTheme="majorHAnsi"/>
      <w:b/>
    </w:rPr>
  </w:style>
  <w:style w:type="paragraph" w:styleId="Heading3">
    <w:name w:val="heading 3"/>
    <w:basedOn w:val="Normal"/>
    <w:next w:val="Normal"/>
    <w:link w:val="Heading3Char"/>
    <w:uiPriority w:val="9"/>
    <w:unhideWhenUsed/>
    <w:qFormat/>
    <w:rsid w:val="002A7C80"/>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80"/>
    <w:rPr>
      <w:rFonts w:asciiTheme="majorHAnsi" w:eastAsia="Times New Roman" w:hAnsiTheme="majorHAnsi" w:cs="Tahoma"/>
      <w:b/>
      <w:color w:val="FFFFFF" w:themeColor="background1"/>
      <w:sz w:val="28"/>
      <w:szCs w:val="28"/>
      <w:lang w:val="en-US"/>
    </w:rPr>
  </w:style>
  <w:style w:type="character" w:customStyle="1" w:styleId="Heading2Char">
    <w:name w:val="Heading 2 Char"/>
    <w:basedOn w:val="DefaultParagraphFont"/>
    <w:link w:val="Heading2"/>
    <w:uiPriority w:val="9"/>
    <w:rsid w:val="002A7C80"/>
    <w:rPr>
      <w:rFonts w:asciiTheme="majorHAnsi" w:hAnsiTheme="majorHAnsi"/>
      <w:b/>
      <w:sz w:val="18"/>
      <w:szCs w:val="18"/>
      <w:lang w:val="en-US"/>
    </w:rPr>
  </w:style>
  <w:style w:type="character" w:customStyle="1" w:styleId="Heading3Char">
    <w:name w:val="Heading 3 Char"/>
    <w:basedOn w:val="DefaultParagraphFont"/>
    <w:link w:val="Heading3"/>
    <w:uiPriority w:val="9"/>
    <w:rsid w:val="002A7C80"/>
    <w:rPr>
      <w:rFonts w:asciiTheme="majorHAnsi" w:hAnsiTheme="majorHAnsi"/>
      <w:b/>
      <w:sz w:val="18"/>
      <w:szCs w:val="18"/>
      <w:lang w:val="en-US"/>
    </w:rPr>
  </w:style>
  <w:style w:type="table" w:styleId="TableGrid">
    <w:name w:val="Table Grid"/>
    <w:basedOn w:val="TableNormal"/>
    <w:uiPriority w:val="59"/>
    <w:rsid w:val="002A7C80"/>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14715"/>
    <w:pPr>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ward.brooklyn08@gmail.com</dc:creator>
  <cp:keywords/>
  <dc:description/>
  <cp:lastModifiedBy>ward.brooklyn08@gmail.com</cp:lastModifiedBy>
  <cp:revision>2</cp:revision>
  <dcterms:created xsi:type="dcterms:W3CDTF">2022-04-29T16:24:00Z</dcterms:created>
  <dcterms:modified xsi:type="dcterms:W3CDTF">2022-04-29T16:24:00Z</dcterms:modified>
</cp:coreProperties>
</file>