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2A7C80" w:rsidRPr="001D5A88" w14:paraId="44B6FE49" w14:textId="77777777" w:rsidTr="00051EAE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EC41DC5" w14:textId="77777777" w:rsidR="002A7C80" w:rsidRPr="001D5A88" w:rsidRDefault="002A7C80" w:rsidP="00051EAE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 w:rsidRPr="001D5A88">
              <w:rPr>
                <w:rFonts w:asciiTheme="minorHAnsi" w:eastAsiaTheme="minorEastAsia" w:hAnsiTheme="minorHAnsi"/>
                <w:sz w:val="22"/>
                <w:szCs w:val="22"/>
                <w:lang w:val="en-CA"/>
              </w:rPr>
              <w:t xml:space="preserve"> </w:t>
            </w:r>
            <w:r w:rsidRPr="001D5A88">
              <w:rPr>
                <w:sz w:val="24"/>
                <w:szCs w:val="24"/>
                <w:lang w:val="en-CA"/>
              </w:rPr>
              <w:t>Hydromorphone</w:t>
            </w:r>
          </w:p>
        </w:tc>
      </w:tr>
      <w:tr w:rsidR="002A7C80" w:rsidRPr="00605CCB" w14:paraId="08F1767A" w14:textId="77777777" w:rsidTr="00051EAE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4609C4" w14:textId="77777777" w:rsidR="002A7C80" w:rsidRPr="00605CCB" w:rsidRDefault="002A7C80" w:rsidP="00051EAE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proofErr w:type="spellStart"/>
            <w:r w:rsidRPr="00605CCB">
              <w:rPr>
                <w:i/>
                <w:iCs/>
                <w:sz w:val="22"/>
                <w:szCs w:val="22"/>
              </w:rPr>
              <w:t>Func</w:t>
            </w:r>
            <w:proofErr w:type="spellEnd"/>
            <w:r w:rsidRPr="00605CCB">
              <w:rPr>
                <w:i/>
                <w:iCs/>
                <w:sz w:val="22"/>
                <w:szCs w:val="22"/>
              </w:rPr>
              <w:t xml:space="preserve">. Class: opiate analgesic; Chem. Class: </w:t>
            </w:r>
            <w:r>
              <w:rPr>
                <w:i/>
                <w:iCs/>
                <w:sz w:val="22"/>
                <w:szCs w:val="22"/>
              </w:rPr>
              <w:t>Semisynthetic phenanthrene</w:t>
            </w:r>
          </w:p>
        </w:tc>
      </w:tr>
      <w:tr w:rsidR="002A7C80" w14:paraId="489DAA69" w14:textId="77777777" w:rsidTr="00051EAE">
        <w:trPr>
          <w:gridAfter w:val="1"/>
          <w:wAfter w:w="242" w:type="dxa"/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325AEABB" w14:textId="77777777" w:rsidR="002A7C80" w:rsidRDefault="002A7C80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EBDB8D" w14:textId="77777777" w:rsidR="002A7C80" w:rsidRPr="00115E9A" w:rsidRDefault="002A7C80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52A556" w14:textId="77777777" w:rsidR="002A7C80" w:rsidRDefault="002A7C80" w:rsidP="00051EAE">
            <w:r>
              <w:t>Inhibits ascending pain pathways in CNS, increases pain threshold, alters pain perception; USES: moderate to severe pain; UNLABED USES: arthralgia, bone, dental pain, headache, migraine, myalgia</w:t>
            </w:r>
          </w:p>
        </w:tc>
      </w:tr>
      <w:tr w:rsidR="002A7C80" w14:paraId="5A70A7D6" w14:textId="77777777" w:rsidTr="00051EAE">
        <w:trPr>
          <w:gridAfter w:val="1"/>
          <w:wAfter w:w="242" w:type="dxa"/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639F53A3" w14:textId="77777777" w:rsidR="002A7C80" w:rsidRDefault="002A7C80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5877B8" w14:textId="77777777" w:rsidR="002A7C80" w:rsidRPr="00115E9A" w:rsidRDefault="002A7C80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F5B013" w14:textId="77777777" w:rsidR="002A7C80" w:rsidRDefault="002A7C80" w:rsidP="00051EAE">
            <w:r>
              <w:t>PO; SUBCUT; IM; IV</w:t>
            </w:r>
          </w:p>
        </w:tc>
      </w:tr>
      <w:tr w:rsidR="002A7C80" w:rsidRPr="00605CCB" w14:paraId="113CD2E9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EE39BE7" w14:textId="77777777" w:rsidR="002A7C80" w:rsidRDefault="002A7C80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CE0BA9E" w14:textId="77777777" w:rsidR="002A7C80" w:rsidRPr="00115E9A" w:rsidRDefault="002A7C80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64271A" w14:textId="77777777" w:rsidR="002A7C80" w:rsidRPr="00605CCB" w:rsidRDefault="002A7C80" w:rsidP="00051EAE">
            <w:r>
              <w:rPr>
                <w:b/>
                <w:bCs/>
              </w:rPr>
              <w:t xml:space="preserve">IM: </w:t>
            </w:r>
            <w:r>
              <w:t xml:space="preserve">onset 15-30 min, peak ½-1 hour, duration 4-5hours, metabolized by the liver; excreted by the kidneys, crosses placenta, excreted in breast milk, half-life 2-3 hours. </w:t>
            </w:r>
          </w:p>
        </w:tc>
      </w:tr>
      <w:tr w:rsidR="002A7C80" w:rsidRPr="00D91415" w14:paraId="02C06FEB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6573EC8A" w14:textId="77777777" w:rsidR="002A7C80" w:rsidRDefault="002A7C80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B46574E" w14:textId="77777777" w:rsidR="002A7C80" w:rsidRPr="00115E9A" w:rsidRDefault="002A7C80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9017C3" w14:textId="77777777" w:rsidR="002A7C80" w:rsidRDefault="002A7C80" w:rsidP="00051EAE">
            <w:r>
              <w:rPr>
                <w:b/>
                <w:bCs/>
              </w:rPr>
              <w:t>Pain:</w:t>
            </w:r>
            <w:r>
              <w:t xml:space="preserve"> control, sedation by scoring on 0-10 scale, around the clock dosing is best for pain control</w:t>
            </w:r>
          </w:p>
          <w:p w14:paraId="66EC782B" w14:textId="77777777" w:rsidR="002A7C80" w:rsidRDefault="002A7C80" w:rsidP="00051EAE">
            <w:r>
              <w:rPr>
                <w:b/>
                <w:bCs/>
              </w:rPr>
              <w:t>I&amp;O Ratio:</w:t>
            </w:r>
            <w:r>
              <w:t xml:space="preserve"> check for decreasing output; may indicate urinary retention</w:t>
            </w:r>
          </w:p>
          <w:p w14:paraId="18CAEBC8" w14:textId="77777777" w:rsidR="002A7C80" w:rsidRDefault="002A7C80" w:rsidP="00051EAE">
            <w:r>
              <w:rPr>
                <w:b/>
                <w:bCs/>
              </w:rPr>
              <w:t>CNS changes:</w:t>
            </w:r>
            <w:r>
              <w:t xml:space="preserve"> dizziness, drowsiness, hallucinations, euphoria, LOC, pupil reaction</w:t>
            </w:r>
          </w:p>
          <w:p w14:paraId="3BC4092F" w14:textId="77777777" w:rsidR="002A7C80" w:rsidRDefault="002A7C80" w:rsidP="00051EAE">
            <w:r>
              <w:rPr>
                <w:b/>
                <w:bCs/>
              </w:rPr>
              <w:t>Bowel function:</w:t>
            </w:r>
            <w:r>
              <w:t xml:space="preserve"> constipation</w:t>
            </w:r>
          </w:p>
          <w:p w14:paraId="6AA12C62" w14:textId="77777777" w:rsidR="002A7C80" w:rsidRDefault="002A7C80" w:rsidP="00051EAE">
            <w:r>
              <w:rPr>
                <w:b/>
                <w:bCs/>
              </w:rPr>
              <w:t>Allergic reactions:</w:t>
            </w:r>
            <w:r>
              <w:t xml:space="preserve"> rash, urticaria</w:t>
            </w:r>
          </w:p>
          <w:p w14:paraId="4430A369" w14:textId="77777777" w:rsidR="002A7C80" w:rsidRDefault="002A7C80" w:rsidP="00051EAE">
            <w:r>
              <w:t>Need for pain medication, physical dependence; assistance with ambulation (safety measures: side rails, night-light, call bell within reach</w:t>
            </w:r>
          </w:p>
          <w:p w14:paraId="18F9DDFF" w14:textId="77777777" w:rsidR="002A7C80" w:rsidRDefault="002A7C80" w:rsidP="00051EAE">
            <w:r>
              <w:rPr>
                <w:b/>
                <w:bCs/>
              </w:rPr>
              <w:t>Beers:</w:t>
            </w:r>
            <w:r>
              <w:t xml:space="preserve"> avoid in older adults unless safer alternative is unavailable – may cause ataxia, impaired psychomotor function</w:t>
            </w:r>
          </w:p>
          <w:p w14:paraId="44C633DD" w14:textId="77777777" w:rsidR="002A7C80" w:rsidRPr="00D91415" w:rsidRDefault="002A7C80" w:rsidP="00051EAE">
            <w:r>
              <w:rPr>
                <w:b/>
                <w:bCs/>
              </w:rPr>
              <w:t>Pregnancy/Breastfeeding:</w:t>
            </w:r>
            <w:r>
              <w:t xml:space="preserve"> use only if benefits outweigh fetal risk; neonatal withdrawal syndrome may occur if used in pregnancy for prolonged periods; do no breastfeed</w:t>
            </w:r>
          </w:p>
        </w:tc>
      </w:tr>
      <w:tr w:rsidR="002A7C80" w:rsidRPr="00D91415" w14:paraId="59D4ABCF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B923A8D" w14:textId="77777777" w:rsidR="002A7C80" w:rsidRDefault="002A7C80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3DD0533" w14:textId="77777777" w:rsidR="002A7C80" w:rsidRPr="00115E9A" w:rsidRDefault="002A7C80" w:rsidP="00051E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11D3510" w14:textId="77777777" w:rsidR="002A7C80" w:rsidRDefault="002A7C80" w:rsidP="00051EAE">
            <w:r>
              <w:rPr>
                <w:b/>
                <w:bCs/>
              </w:rPr>
              <w:t>CNS:</w:t>
            </w:r>
            <w:r>
              <w:t xml:space="preserve"> drowsiness, dizziness, confusion, headache, sedation, euphoria, mood changes, seizures</w:t>
            </w:r>
          </w:p>
          <w:p w14:paraId="0889A838" w14:textId="77777777" w:rsidR="002A7C80" w:rsidRDefault="002A7C80" w:rsidP="00051EAE">
            <w:r>
              <w:rPr>
                <w:b/>
                <w:bCs/>
              </w:rPr>
              <w:t>CV:</w:t>
            </w:r>
            <w:r>
              <w:t xml:space="preserve"> palpations, bradycardia, change in B/P, hypotension, tachycardia, peripheral vasodilation</w:t>
            </w:r>
          </w:p>
          <w:p w14:paraId="24071422" w14:textId="77777777" w:rsidR="002A7C80" w:rsidRDefault="002A7C80" w:rsidP="00051EAE">
            <w:r>
              <w:rPr>
                <w:b/>
                <w:bCs/>
              </w:rPr>
              <w:t>EENT:</w:t>
            </w:r>
            <w:r>
              <w:t xml:space="preserve"> tinnitus, blurred vision, miosis, diplopia</w:t>
            </w:r>
          </w:p>
          <w:p w14:paraId="3E9C2123" w14:textId="77777777" w:rsidR="002A7C80" w:rsidRDefault="002A7C80" w:rsidP="00051EAE">
            <w:r>
              <w:rPr>
                <w:b/>
                <w:bCs/>
              </w:rPr>
              <w:t>GI:</w:t>
            </w:r>
            <w:r>
              <w:t xml:space="preserve"> nausea, vomiting, anorexia, constipation, cramps, dry mouth, paralytic ileus</w:t>
            </w:r>
          </w:p>
          <w:p w14:paraId="06B00BD1" w14:textId="77777777" w:rsidR="002A7C80" w:rsidRDefault="002A7C80" w:rsidP="00051EAE">
            <w:r>
              <w:rPr>
                <w:b/>
                <w:bCs/>
              </w:rPr>
              <w:t>GU:</w:t>
            </w:r>
            <w:r>
              <w:t xml:space="preserve"> increased urinary output, dysuria, urinary retention</w:t>
            </w:r>
          </w:p>
          <w:p w14:paraId="2AC20B12" w14:textId="77777777" w:rsidR="002A7C80" w:rsidRDefault="002A7C80" w:rsidP="00051EAE">
            <w:r>
              <w:rPr>
                <w:b/>
                <w:bCs/>
              </w:rPr>
              <w:t>INTEG:</w:t>
            </w:r>
            <w:r>
              <w:t xml:space="preserve"> rash, urticaria, bruising, flushing, diaphoresis, pruritus</w:t>
            </w:r>
          </w:p>
          <w:p w14:paraId="712F8994" w14:textId="77777777" w:rsidR="002A7C80" w:rsidRDefault="002A7C80" w:rsidP="00051EAE">
            <w:r>
              <w:rPr>
                <w:b/>
                <w:bCs/>
              </w:rPr>
              <w:t>RESP:</w:t>
            </w:r>
            <w:r>
              <w:t xml:space="preserve"> respiratory depression, dyspnea</w:t>
            </w:r>
          </w:p>
          <w:p w14:paraId="47BDDD04" w14:textId="77777777" w:rsidR="002A7C80" w:rsidRPr="00D91415" w:rsidRDefault="002A7C80" w:rsidP="00051EAE">
            <w:r>
              <w:rPr>
                <w:b/>
                <w:bCs/>
              </w:rPr>
              <w:t>MISC:</w:t>
            </w:r>
            <w:r>
              <w:t xml:space="preserve"> physical/psychological dependence</w:t>
            </w:r>
          </w:p>
        </w:tc>
      </w:tr>
      <w:tr w:rsidR="002A7C80" w14:paraId="136B1FC1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ECFF75E" w14:textId="77777777" w:rsidR="002A7C80" w:rsidRDefault="002A7C80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B51C2D1" w14:textId="77777777" w:rsidR="002A7C80" w:rsidRPr="00115E9A" w:rsidRDefault="002A7C80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AAB9475" w14:textId="77777777" w:rsidR="002A7C80" w:rsidRDefault="002A7C80" w:rsidP="00051EAE">
            <w:r>
              <w:t>Hypersensitivity to this product/sulfite, COPD, Cor pulmonale, emphysema, GI obstruction, ileus, increased intracranial pressure, obstetric delivery, status asthmaticus</w:t>
            </w:r>
          </w:p>
        </w:tc>
      </w:tr>
      <w:tr w:rsidR="002A7C80" w14:paraId="06F1FC13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FADDB06" w14:textId="77777777" w:rsidR="002A7C80" w:rsidRDefault="002A7C80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BB83997" w14:textId="77777777" w:rsidR="002A7C80" w:rsidRPr="00115E9A" w:rsidRDefault="002A7C80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586297B" w14:textId="77777777" w:rsidR="002A7C80" w:rsidRDefault="002A7C80" w:rsidP="00051EAE">
            <w:r>
              <w:t xml:space="preserve">To report any symptoms of CNS changes &amp; allergic reactions; that product is contained in a hard tablet shell that may be seen in a bowel movement, which is normal; not to stop taking the product without discussing with provider; to avoid driving, other hazardous activities because drowsiness occurs; to take with food if nausea occurs; to notify provider if pain is not controlled adequately; to use sugarless gum, frequent sips of water for dry mouth, and use good oral hygiene </w:t>
            </w:r>
          </w:p>
        </w:tc>
      </w:tr>
      <w:tr w:rsidR="002A7C80" w14:paraId="29712390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C6014B6" w14:textId="77777777" w:rsidR="002A7C80" w:rsidRDefault="002A7C80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D07393F" w14:textId="77777777" w:rsidR="002A7C80" w:rsidRPr="00115E9A" w:rsidRDefault="002A7C80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2C0963" w14:textId="77777777" w:rsidR="002A7C80" w:rsidRDefault="002A7C80" w:rsidP="00051EAE">
            <w:r>
              <w:t>Treatment of overdose: Naloxone (Narcan) 0.2-0.8 mg IV (non-tolerant patients); O2, IV fluids, vasopressors</w:t>
            </w:r>
          </w:p>
        </w:tc>
      </w:tr>
      <w:tr w:rsidR="002A7C80" w:rsidRPr="004109DF" w14:paraId="3B97D443" w14:textId="77777777" w:rsidTr="00051EAE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6E03E1" w14:textId="77777777" w:rsidR="002A7C80" w:rsidRPr="004109DF" w:rsidRDefault="002A7C80" w:rsidP="00051EAE"/>
        </w:tc>
      </w:tr>
    </w:tbl>
    <w:p w14:paraId="1D932C2D" w14:textId="77777777" w:rsidR="0048006D" w:rsidRDefault="0048006D"/>
    <w:sectPr w:rsidR="0048006D" w:rsidSect="002A7C8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80"/>
    <w:rsid w:val="002A7C80"/>
    <w:rsid w:val="0048006D"/>
    <w:rsid w:val="00D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6900E"/>
  <w15:chartTrackingRefBased/>
  <w15:docId w15:val="{22BEFA9A-97F5-AC47-94EB-04B79493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0"/>
    <w:rPr>
      <w:rFonts w:ascii="Calibri" w:hAnsi="Calibri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C80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C80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C80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C80"/>
    <w:rPr>
      <w:rFonts w:asciiTheme="majorHAnsi" w:eastAsia="Times New Roman" w:hAnsiTheme="majorHAnsi" w:cs="Tahoma"/>
      <w:b/>
      <w:color w:val="FFFFFF" w:themeColor="background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A7C80"/>
    <w:rPr>
      <w:rFonts w:asciiTheme="majorHAnsi" w:hAnsiTheme="majorHAnsi"/>
      <w:b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A7C80"/>
    <w:rPr>
      <w:rFonts w:asciiTheme="majorHAnsi" w:hAnsiTheme="majorHAnsi"/>
      <w:b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2A7C80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ward.brooklyn08@gmail.com</dc:creator>
  <cp:keywords/>
  <dc:description/>
  <cp:lastModifiedBy>ward.brooklyn08@gmail.com</cp:lastModifiedBy>
  <cp:revision>1</cp:revision>
  <dcterms:created xsi:type="dcterms:W3CDTF">2022-04-29T16:21:00Z</dcterms:created>
  <dcterms:modified xsi:type="dcterms:W3CDTF">2022-04-29T16:22:00Z</dcterms:modified>
</cp:coreProperties>
</file>