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D3238B" w:rsidRPr="001D5A88" w14:paraId="720817E6" w14:textId="77777777" w:rsidTr="00856D18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CD3BD0A" w14:textId="77777777" w:rsidR="00D3238B" w:rsidRPr="001D5A88" w:rsidRDefault="00D3238B" w:rsidP="00856D18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587BAA">
              <w:rPr>
                <w:bCs/>
                <w:sz w:val="24"/>
                <w:szCs w:val="24"/>
              </w:rPr>
              <w:t>Furosemide</w:t>
            </w:r>
          </w:p>
        </w:tc>
      </w:tr>
      <w:tr w:rsidR="00D3238B" w:rsidRPr="00E17A5C" w14:paraId="2FE31F9C" w14:textId="77777777" w:rsidTr="00856D18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9C8A4" w14:textId="77777777" w:rsidR="00D3238B" w:rsidRPr="00E17A5C" w:rsidRDefault="00D3238B" w:rsidP="00856D18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 w:rsidRPr="00587BAA">
              <w:rPr>
                <w:i/>
                <w:iCs/>
                <w:sz w:val="22"/>
                <w:szCs w:val="22"/>
              </w:rPr>
              <w:t xml:space="preserve">Func. Class: </w:t>
            </w:r>
            <w:r w:rsidRPr="00587BAA">
              <w:rPr>
                <w:bCs/>
                <w:i/>
                <w:iCs/>
                <w:sz w:val="22"/>
                <w:szCs w:val="22"/>
              </w:rPr>
              <w:t>Loop diuretic</w:t>
            </w:r>
            <w:r w:rsidRPr="00587BAA">
              <w:rPr>
                <w:i/>
                <w:iCs/>
                <w:sz w:val="22"/>
                <w:szCs w:val="22"/>
              </w:rPr>
              <w:t xml:space="preserve">; Chem. Class: </w:t>
            </w:r>
            <w:r w:rsidRPr="00587BAA">
              <w:rPr>
                <w:bCs/>
                <w:i/>
                <w:iCs/>
                <w:sz w:val="22"/>
                <w:szCs w:val="22"/>
              </w:rPr>
              <w:t>Sulfonamide derivative</w:t>
            </w:r>
          </w:p>
        </w:tc>
      </w:tr>
      <w:tr w:rsidR="00D3238B" w14:paraId="220424B4" w14:textId="77777777" w:rsidTr="00856D18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74069F5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D2D9E04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A13DA45" w14:textId="77777777" w:rsidR="00D3238B" w:rsidRDefault="00D3238B" w:rsidP="00856D18">
            <w:r>
              <w:rPr>
                <w:b/>
                <w:bCs/>
              </w:rPr>
              <w:t>Action:</w:t>
            </w:r>
            <w:r>
              <w:t xml:space="preserve">  </w:t>
            </w:r>
            <w:r w:rsidRPr="00587BAA">
              <w:t>Inhibits reabsorption of sodium and chloride at proximal and distal tubules and in the loop of Henle</w:t>
            </w:r>
          </w:p>
          <w:p w14:paraId="06A9423E" w14:textId="77777777" w:rsidR="00D3238B" w:rsidRPr="00E17A5C" w:rsidRDefault="00D3238B" w:rsidP="00856D18">
            <w:r>
              <w:rPr>
                <w:b/>
                <w:bCs/>
              </w:rPr>
              <w:t xml:space="preserve">USES: </w:t>
            </w:r>
            <w:r>
              <w:t xml:space="preserve"> </w:t>
            </w:r>
            <w:r w:rsidRPr="00587BAA">
              <w:t>Pulmonary edema; edema with HF, hepatic disease, nephrotic syndrome, ascites, hypertension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65EE857" w14:textId="77777777" w:rsidR="00D3238B" w:rsidRDefault="00D3238B" w:rsidP="00856D18"/>
        </w:tc>
      </w:tr>
      <w:tr w:rsidR="00D3238B" w14:paraId="70AE1FB4" w14:textId="77777777" w:rsidTr="00856D18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400D1BA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7A9938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54F294" w14:textId="77777777" w:rsidR="00D3238B" w:rsidRDefault="00D3238B" w:rsidP="00856D18">
            <w:r>
              <w:t>IV; PO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5EAEDB6" w14:textId="77777777" w:rsidR="00D3238B" w:rsidRDefault="00D3238B" w:rsidP="00856D18"/>
        </w:tc>
      </w:tr>
      <w:tr w:rsidR="00D3238B" w14:paraId="40AED88E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3032C42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C5C129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C900BED" w14:textId="77777777" w:rsidR="00D3238B" w:rsidRPr="00AD37BA" w:rsidRDefault="00D3238B" w:rsidP="00856D18">
            <w:r>
              <w:t xml:space="preserve"> </w:t>
            </w:r>
            <w:r>
              <w:rPr>
                <w:b/>
                <w:bCs/>
              </w:rPr>
              <w:t>PO:</w:t>
            </w:r>
            <w:r>
              <w:t xml:space="preserve"> onset 1 hr; peak 1-2 hr; duration 6-8 hr; absorbed 70%; </w:t>
            </w:r>
            <w:r>
              <w:rPr>
                <w:b/>
                <w:bCs/>
              </w:rPr>
              <w:t>IV:</w:t>
            </w:r>
            <w:r>
              <w:t xml:space="preserve"> onset 5 min; peak ½ hr; duration 2 hr – metabolized by the liver 30%, excreted in urine, some as unchanged product, and feces; crosses the placenta, enter the breast milk; excreted in breast milk; half-life ½-1 hr, protein binding 90-99%.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D264841" w14:textId="77777777" w:rsidR="00D3238B" w:rsidRDefault="00D3238B" w:rsidP="00856D18"/>
        </w:tc>
      </w:tr>
      <w:tr w:rsidR="00D3238B" w14:paraId="73A79FCA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EB68BA4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C17D412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2F6094" w14:textId="77777777" w:rsidR="00D3238B" w:rsidRPr="00C552E7" w:rsidRDefault="00D3238B" w:rsidP="00856D18">
            <w:r>
              <w:rPr>
                <w:b/>
                <w:bCs/>
              </w:rPr>
              <w:t>HF:</w:t>
            </w:r>
            <w:r>
              <w:t xml:space="preserve"> weight, I&amp;O daily to determine fluid loss; effect of product may be decreased if used daily; </w:t>
            </w:r>
            <w:r>
              <w:rPr>
                <w:b/>
                <w:bCs/>
              </w:rPr>
              <w:t>Hypertension:</w:t>
            </w:r>
            <w:r>
              <w:t xml:space="preserve"> BP lying, standing; postural hypotension may occur; assess for full risk in older adults, and implement fall prevention strategies; </w:t>
            </w:r>
            <w:r>
              <w:rPr>
                <w:b/>
                <w:bCs/>
              </w:rPr>
              <w:t>Metabolic alkalosis:</w:t>
            </w:r>
            <w:r>
              <w:t xml:space="preserve"> drowsiness, restlessness; </w:t>
            </w:r>
            <w:r>
              <w:rPr>
                <w:b/>
                <w:bCs/>
              </w:rPr>
              <w:t>Hypokalemia:</w:t>
            </w:r>
            <w:r>
              <w:t xml:space="preserve"> postural hypotension, malaise, fatigue, tachycardia, leg cramps, weakness; assess those who are also taking digoxin for digoxin toxicity due to hypokalemia; rashes, temperature elevation daily; confusion, especially in geriatric patients; take safety precautions if needed; </w:t>
            </w:r>
            <w:r>
              <w:rPr>
                <w:b/>
                <w:bCs/>
              </w:rPr>
              <w:t>Hearing:</w:t>
            </w:r>
            <w:r>
              <w:t xml:space="preserve"> including tinnitus and hearing loss, when giving high doses for extended periods or rapid infusion; rate, depth, rhythm of respiration, effect of exertion, lung sounds; electrolytes (include BUN, blood pH, ABGs, uric acid); glucose in the urine if diabetic; allergies to sulfonamides, thiazides; </w:t>
            </w:r>
            <w:r>
              <w:rPr>
                <w:b/>
                <w:bCs/>
              </w:rPr>
              <w:t>Serious rash:</w:t>
            </w:r>
            <w:r>
              <w:t xml:space="preserve"> monitor for skin rash often; Stevens-Johnson syndrome, toxic epidermal necrolysis, erythema multiforme may occur and are life threatening; </w:t>
            </w:r>
            <w:r>
              <w:rPr>
                <w:b/>
                <w:bCs/>
              </w:rPr>
              <w:t>Beers:</w:t>
            </w:r>
            <w:r>
              <w:t xml:space="preserve"> use with caution in older adults; may exacerbate or cause syndrome of inappropriate antidiuretic hormone secretion or hyponatremia monitor sodium level closely when changing doses </w:t>
            </w:r>
            <w:r>
              <w:rPr>
                <w:b/>
                <w:bCs/>
              </w:rPr>
              <w:t>Pregnancy/breastfeeding:</w:t>
            </w:r>
            <w:r>
              <w:t xml:space="preserve"> use only is benefit outweighs fetal risks; do not breastfeed, excretion unknown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998BD6B" w14:textId="77777777" w:rsidR="00D3238B" w:rsidRDefault="00D3238B" w:rsidP="00856D18"/>
        </w:tc>
      </w:tr>
      <w:tr w:rsidR="00D3238B" w14:paraId="5326418C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0A9F435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0A576B" w14:textId="77777777" w:rsidR="00D3238B" w:rsidRPr="00115E9A" w:rsidRDefault="00D3238B" w:rsidP="00856D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C86643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CNS: </w:t>
            </w:r>
            <w:r w:rsidRPr="00587BAA">
              <w:t>Headache, fatigue, weakness, vertigo, paresthesia</w:t>
            </w:r>
          </w:p>
          <w:p w14:paraId="3907D4C5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CV: </w:t>
            </w:r>
            <w:r w:rsidRPr="00587BAA">
              <w:t>Orthostatic hypotension, chest pain, ECG changes, circulatory collapse</w:t>
            </w:r>
          </w:p>
          <w:p w14:paraId="7C7A6324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EENT: </w:t>
            </w:r>
            <w:r w:rsidRPr="00587BAA">
              <w:t>Loss of hearing, ear pain, tinnitus, blurred vision</w:t>
            </w:r>
          </w:p>
          <w:p w14:paraId="7E3A4EDD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ELECT: </w:t>
            </w:r>
            <w:r w:rsidRPr="00587BAA">
              <w:t>Hypokalemia, hypochloremia alkalosis, hypomagnesemia, hyperuricemia, hypocalcemia, hyponatremia, metabolic alkalosis</w:t>
            </w:r>
          </w:p>
          <w:p w14:paraId="1DF07EFB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ENDO: </w:t>
            </w:r>
            <w:r w:rsidRPr="00587BAA">
              <w:t>Hyperglycemia</w:t>
            </w:r>
          </w:p>
          <w:p w14:paraId="2E441F0D" w14:textId="77777777" w:rsidR="00D3238B" w:rsidRPr="00587BAA" w:rsidRDefault="00D3238B" w:rsidP="00856D18">
            <w:r w:rsidRPr="00587BAA">
              <w:rPr>
                <w:b/>
                <w:bCs/>
              </w:rPr>
              <w:t xml:space="preserve">GI: </w:t>
            </w:r>
            <w:r w:rsidRPr="00587BAA">
              <w:t>Nausea, diarrhea, dry mouth, vomiting, anorexia, cramps, oral, gastric irritations, pancreatitis</w:t>
            </w:r>
          </w:p>
          <w:p w14:paraId="06681496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GU: </w:t>
            </w:r>
            <w:r w:rsidRPr="00587BAA">
              <w:t>Polyuria, renal failure, glycosuria, bladder spasms</w:t>
            </w:r>
          </w:p>
          <w:p w14:paraId="61EA7051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HEMA: </w:t>
            </w:r>
            <w:r w:rsidRPr="00587BAA">
              <w:t>Thrombocytopenia, agranulocytosis, leukopenia, neutropenia, anemia</w:t>
            </w:r>
          </w:p>
          <w:p w14:paraId="79E3CB9C" w14:textId="77777777" w:rsidR="00D3238B" w:rsidRPr="00587BAA" w:rsidRDefault="00D3238B" w:rsidP="00856D18">
            <w:r w:rsidRPr="00587BAA">
              <w:rPr>
                <w:b/>
                <w:bCs/>
              </w:rPr>
              <w:t xml:space="preserve">INTEG: </w:t>
            </w:r>
            <w:r w:rsidRPr="00587BAA">
              <w:t>Rash, pruritus, purpura, sweating, photosensitivity, urticaria</w:t>
            </w:r>
          </w:p>
          <w:p w14:paraId="33070700" w14:textId="77777777" w:rsidR="00D3238B" w:rsidRPr="00587BAA" w:rsidRDefault="00D3238B" w:rsidP="00856D18">
            <w:pPr>
              <w:rPr>
                <w:b/>
                <w:bCs/>
              </w:rPr>
            </w:pPr>
            <w:r w:rsidRPr="00587BAA">
              <w:rPr>
                <w:b/>
                <w:bCs/>
              </w:rPr>
              <w:t xml:space="preserve">MS: </w:t>
            </w:r>
            <w:r w:rsidRPr="00587BAA">
              <w:t>Cramps, stiffness</w:t>
            </w:r>
          </w:p>
          <w:p w14:paraId="2FA4510F" w14:textId="77777777" w:rsidR="00D3238B" w:rsidRDefault="00D3238B" w:rsidP="00856D18">
            <w:r w:rsidRPr="00587BAA">
              <w:rPr>
                <w:b/>
                <w:bCs/>
              </w:rPr>
              <w:t xml:space="preserve">SYST: </w:t>
            </w:r>
            <w:r w:rsidRPr="00587BAA">
              <w:t>Toxic epidermal necrolysis, erythema multiforme, Stevens-Johnson syndrome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DC67FEB" w14:textId="77777777" w:rsidR="00D3238B" w:rsidRDefault="00D3238B" w:rsidP="00856D18"/>
        </w:tc>
      </w:tr>
      <w:tr w:rsidR="00D3238B" w14:paraId="5E26F93C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DAD7644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9F09D0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4834D3" w14:textId="77777777" w:rsidR="00D3238B" w:rsidRDefault="00D3238B" w:rsidP="00856D18">
            <w:r>
              <w:t xml:space="preserve">Anuria (no urine); </w:t>
            </w:r>
            <w:r w:rsidRPr="00587BAA">
              <w:rPr>
                <w:b/>
                <w:bCs/>
              </w:rPr>
              <w:t>Precautions</w:t>
            </w:r>
            <w:r>
              <w:t>: pregnancy, breastfeeding, diabetes mellitus, dehydration, severe renal disease, cirrhosis ascites, hypersensitivity to sulfonamides/thiazides, infants, hypovolemia, electrolyte depletion, hypersensitivity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F1F4857" w14:textId="77777777" w:rsidR="00D3238B" w:rsidRDefault="00D3238B" w:rsidP="00856D18"/>
        </w:tc>
      </w:tr>
      <w:tr w:rsidR="00D3238B" w14:paraId="3453C348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8346584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D272FF4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367638E" w14:textId="77777777" w:rsidR="00D3238B" w:rsidRDefault="00D3238B" w:rsidP="00856D18">
            <w:r>
              <w:t xml:space="preserve">To discuss the need for a high-potassium diet of potassium replacement with prescriber; to rise slowly from lying or sitting position because of orthostatic hypotension may occur – teach fall prevention strategies; to recognize adverse reactions that may occur; muscle cramps, weakness, nausea, dizziness; teach diabetic patients to monitor blood glucose carefully; about the entire treatment regimen, including exercise, diet, stress relief for hypertension; to contact prescriber if rash, cramps, nausea, dizziness, numbness, weakness occur; to take with food or milk for GI symptoms; to use sunscreen or protective clothing to prevent photosensitivity; to take early in the day to prevent sleeplessness; to avoid OTC medications unless directed by prescriber 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063161A" w14:textId="77777777" w:rsidR="00D3238B" w:rsidRDefault="00D3238B" w:rsidP="00856D18"/>
        </w:tc>
      </w:tr>
      <w:tr w:rsidR="00D3238B" w14:paraId="1E76B61B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C7760D9" w14:textId="77777777" w:rsidR="00D3238B" w:rsidRDefault="00D3238B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CB2771" w14:textId="77777777" w:rsidR="00D3238B" w:rsidRPr="00115E9A" w:rsidRDefault="00D3238B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B5063F" w14:textId="77777777" w:rsidR="00D3238B" w:rsidRDefault="00D3238B" w:rsidP="00856D18"/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1BD83D1" w14:textId="77777777" w:rsidR="00D3238B" w:rsidRDefault="00D3238B" w:rsidP="00856D18"/>
        </w:tc>
      </w:tr>
      <w:tr w:rsidR="00D3238B" w:rsidRPr="004109DF" w14:paraId="469E453E" w14:textId="77777777" w:rsidTr="00856D18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34E0BB" w14:textId="77777777" w:rsidR="00D3238B" w:rsidRPr="004109DF" w:rsidRDefault="00D3238B" w:rsidP="00856D18"/>
        </w:tc>
      </w:tr>
    </w:tbl>
    <w:p w14:paraId="40D33729" w14:textId="77777777" w:rsidR="00D3238B" w:rsidRDefault="00D3238B" w:rsidP="00D3238B"/>
    <w:p w14:paraId="3CC2D063" w14:textId="735CC076" w:rsidR="0037024E" w:rsidRDefault="00787CA5"/>
    <w:sectPr w:rsidR="0037024E" w:rsidSect="00D323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8B"/>
    <w:rsid w:val="001B2E2A"/>
    <w:rsid w:val="00476AD1"/>
    <w:rsid w:val="00606885"/>
    <w:rsid w:val="00787CA5"/>
    <w:rsid w:val="00AD42F9"/>
    <w:rsid w:val="00B13D99"/>
    <w:rsid w:val="00C24C41"/>
    <w:rsid w:val="00D3238B"/>
    <w:rsid w:val="00ED5BEF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849E2"/>
  <w14:defaultImageDpi w14:val="32767"/>
  <w15:chartTrackingRefBased/>
  <w15:docId w15:val="{54446DEA-DFFB-EA42-97CB-5CF766D9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238B"/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38B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38B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38B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8B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238B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238B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D3238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Leckie</dc:creator>
  <cp:keywords/>
  <dc:description/>
  <cp:lastModifiedBy>ward.brooklyn08@gmail.com</cp:lastModifiedBy>
  <cp:revision>2</cp:revision>
  <dcterms:created xsi:type="dcterms:W3CDTF">2022-05-02T02:05:00Z</dcterms:created>
  <dcterms:modified xsi:type="dcterms:W3CDTF">2022-05-02T02:08:00Z</dcterms:modified>
</cp:coreProperties>
</file>