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55"/>
        <w:tblW w:w="15568" w:type="dxa"/>
        <w:tblLayout w:type="fixed"/>
        <w:tblLook w:val="04A0" w:firstRow="1" w:lastRow="0" w:firstColumn="1" w:lastColumn="0" w:noHBand="0" w:noVBand="1"/>
      </w:tblPr>
      <w:tblGrid>
        <w:gridCol w:w="236"/>
        <w:gridCol w:w="2191"/>
        <w:gridCol w:w="12899"/>
        <w:gridCol w:w="242"/>
      </w:tblGrid>
      <w:tr w:rsidR="00F44D7A" w:rsidRPr="001D5A88" w14:paraId="36F6EC03" w14:textId="77777777" w:rsidTr="00051EAE">
        <w:trPr>
          <w:trHeight w:val="267"/>
        </w:trPr>
        <w:tc>
          <w:tcPr>
            <w:tcW w:w="15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647438A" w14:textId="660CE15E" w:rsidR="00F44D7A" w:rsidRPr="001D5A88" w:rsidRDefault="00F44D7A" w:rsidP="00051EAE">
            <w:pPr>
              <w:pStyle w:val="Heading1"/>
              <w:outlineLvl w:val="0"/>
              <w:rPr>
                <w:sz w:val="24"/>
                <w:szCs w:val="24"/>
                <w:lang w:val="en-CA"/>
              </w:rPr>
            </w:pPr>
            <w:r w:rsidRPr="00D82A9D">
              <w:rPr>
                <w:sz w:val="24"/>
                <w:szCs w:val="24"/>
              </w:rPr>
              <w:t>Generic &amp; Trade Name of Drug:</w:t>
            </w:r>
            <w:r>
              <w:rPr>
                <w:sz w:val="24"/>
                <w:szCs w:val="24"/>
              </w:rPr>
              <w:t xml:space="preserve"> </w:t>
            </w:r>
            <w:r w:rsidR="00782061">
              <w:rPr>
                <w:sz w:val="24"/>
                <w:szCs w:val="24"/>
              </w:rPr>
              <w:t>Donepezil</w:t>
            </w:r>
            <w:r w:rsidR="00E61339">
              <w:rPr>
                <w:sz w:val="24"/>
                <w:szCs w:val="24"/>
              </w:rPr>
              <w:t xml:space="preserve"> (Aricept)</w:t>
            </w:r>
          </w:p>
        </w:tc>
      </w:tr>
      <w:tr w:rsidR="00F44D7A" w:rsidRPr="00E17A5C" w14:paraId="6CEA6C5A" w14:textId="77777777" w:rsidTr="00051EAE">
        <w:trPr>
          <w:trHeight w:val="253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C8F1A0" w14:textId="0C7622B7" w:rsidR="00F44D7A" w:rsidRPr="00E17A5C" w:rsidRDefault="00F44D7A" w:rsidP="00051EAE">
            <w:pPr>
              <w:pStyle w:val="Heading2"/>
              <w:outlineLvl w:val="1"/>
              <w:rPr>
                <w:i/>
                <w:iCs/>
                <w:sz w:val="22"/>
                <w:szCs w:val="22"/>
              </w:rPr>
            </w:pPr>
            <w:proofErr w:type="spellStart"/>
            <w:r w:rsidRPr="00587BAA">
              <w:rPr>
                <w:i/>
                <w:iCs/>
                <w:sz w:val="22"/>
                <w:szCs w:val="22"/>
              </w:rPr>
              <w:t>Func</w:t>
            </w:r>
            <w:proofErr w:type="spellEnd"/>
            <w:r w:rsidRPr="00587BAA">
              <w:rPr>
                <w:i/>
                <w:iCs/>
                <w:sz w:val="22"/>
                <w:szCs w:val="22"/>
              </w:rPr>
              <w:t xml:space="preserve">. Class: </w:t>
            </w:r>
            <w:r w:rsidR="00E61339">
              <w:rPr>
                <w:i/>
                <w:iCs/>
                <w:sz w:val="22"/>
                <w:szCs w:val="22"/>
              </w:rPr>
              <w:t>Anti-Alzheimer’s Agent (Reversible cholinesterase inhibitor)</w:t>
            </w:r>
          </w:p>
        </w:tc>
      </w:tr>
      <w:tr w:rsidR="00F44D7A" w14:paraId="16B246CA" w14:textId="77777777" w:rsidTr="00051EAE">
        <w:trPr>
          <w:trHeight w:val="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84BA1BE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888E957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Indications/ Therapeutic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F7BDB75" w14:textId="77777777" w:rsidR="00F44D7A" w:rsidRDefault="00E61339" w:rsidP="00051EAE">
            <w:r>
              <w:t>Elevates acetylcholine concentrations (in cerebral cortex) by slowing degradation of acetylcholine released in cholinergic neurons; does not alter underlying dementia</w:t>
            </w:r>
          </w:p>
          <w:p w14:paraId="337862E1" w14:textId="77777777" w:rsidR="00E61339" w:rsidRDefault="00E61339" w:rsidP="00051EAE">
            <w:r>
              <w:t>For mild to severe dementia with Alzheimer’s disease</w:t>
            </w:r>
          </w:p>
          <w:p w14:paraId="67206D16" w14:textId="62924B1C" w:rsidR="00CB7D63" w:rsidRPr="00E17A5C" w:rsidRDefault="00CB7D63" w:rsidP="00051EAE">
            <w:r>
              <w:t>Decrease in confusion, improved mood, memory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205E1BF" w14:textId="77777777" w:rsidR="00F44D7A" w:rsidRDefault="00F44D7A" w:rsidP="00051EAE"/>
        </w:tc>
      </w:tr>
      <w:tr w:rsidR="00F44D7A" w14:paraId="55DE8306" w14:textId="77777777" w:rsidTr="00051EAE">
        <w:trPr>
          <w:trHeight w:val="3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50526429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3D95C41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Routes of Administration: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4B4D78B" w14:textId="38881070" w:rsidR="00F44D7A" w:rsidRDefault="00AC1716" w:rsidP="00051EAE">
            <w:r>
              <w:t>PO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8BDD698" w14:textId="77777777" w:rsidR="00F44D7A" w:rsidRDefault="00F44D7A" w:rsidP="00051EAE"/>
        </w:tc>
      </w:tr>
      <w:tr w:rsidR="00F44D7A" w14:paraId="54F86D0F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5455560B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8D2CE2B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Pharmacokinetics: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A3C3038" w14:textId="2DCD07F7" w:rsidR="00F44D7A" w:rsidRPr="00AD37BA" w:rsidRDefault="00AC1716" w:rsidP="00051EAE">
            <w:r>
              <w:t xml:space="preserve">Well absorbed PO; metabolized by CYP2D6 and CYP3A4, half-life 10 </w:t>
            </w:r>
            <w:proofErr w:type="spellStart"/>
            <w:r>
              <w:t>hr</w:t>
            </w:r>
            <w:proofErr w:type="spellEnd"/>
            <w:r>
              <w:t xml:space="preserve"> (single dose), 70 </w:t>
            </w:r>
            <w:proofErr w:type="spellStart"/>
            <w:r>
              <w:t>hr</w:t>
            </w:r>
            <w:proofErr w:type="spellEnd"/>
            <w:r>
              <w:t xml:space="preserve"> (multiple doses), protein binding 96%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212C40F" w14:textId="77777777" w:rsidR="00F44D7A" w:rsidRDefault="00F44D7A" w:rsidP="00051EAE"/>
        </w:tc>
      </w:tr>
      <w:tr w:rsidR="00F44D7A" w14:paraId="22498237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597CAACB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EB11F7D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Nursing Implications/ Assessments: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13D53E5" w14:textId="77777777" w:rsidR="00F44D7A" w:rsidRDefault="00AC1716" w:rsidP="00051EAE">
            <w:r>
              <w:rPr>
                <w:b/>
                <w:bCs/>
              </w:rPr>
              <w:t xml:space="preserve">Alzheimer’s Disease: </w:t>
            </w:r>
            <w:r>
              <w:t>ADLs, memory, language, confusion at baseline and during treatment</w:t>
            </w:r>
          </w:p>
          <w:p w14:paraId="40DC6E9F" w14:textId="77777777" w:rsidR="00AC1716" w:rsidRDefault="00AC1716" w:rsidP="00051EAE">
            <w:r>
              <w:t>BP, heart rate, ECG, QT</w:t>
            </w:r>
          </w:p>
          <w:p w14:paraId="790D7F8B" w14:textId="77777777" w:rsidR="00AC1716" w:rsidRDefault="00AC1716" w:rsidP="00051EAE">
            <w:r w:rsidRPr="00AC1716">
              <w:rPr>
                <w:b/>
                <w:bCs/>
              </w:rPr>
              <w:t>Mental status</w:t>
            </w:r>
            <w:r>
              <w:rPr>
                <w:b/>
                <w:bCs/>
              </w:rPr>
              <w:t xml:space="preserve">: </w:t>
            </w:r>
            <w:r>
              <w:t xml:space="preserve">affect, mood, </w:t>
            </w:r>
            <w:r w:rsidR="00CB7D63">
              <w:t>behavioral changes, depression, complete neurological status</w:t>
            </w:r>
          </w:p>
          <w:p w14:paraId="528B2447" w14:textId="77777777" w:rsidR="00CB7D63" w:rsidRDefault="00CB7D63" w:rsidP="00051EAE">
            <w:r>
              <w:rPr>
                <w:b/>
                <w:bCs/>
              </w:rPr>
              <w:t xml:space="preserve">GI Status: </w:t>
            </w:r>
            <w:r>
              <w:t xml:space="preserve">nausea, vomiting, anorexia, diarrhea, monitor weight, active/occult GI bleeding </w:t>
            </w:r>
          </w:p>
          <w:p w14:paraId="2C143F5B" w14:textId="77777777" w:rsidR="00CB7D63" w:rsidRDefault="00CB7D63" w:rsidP="00051EAE">
            <w:r>
              <w:rPr>
                <w:b/>
                <w:bCs/>
              </w:rPr>
              <w:t xml:space="preserve">GU status: </w:t>
            </w:r>
            <w:r>
              <w:t>urinary frequency, incontinence, I&amp;O</w:t>
            </w:r>
          </w:p>
          <w:p w14:paraId="5EED6F58" w14:textId="77777777" w:rsidR="00CB7D63" w:rsidRDefault="00CB7D63" w:rsidP="00051EAE">
            <w:r w:rsidRPr="00CB7D63">
              <w:rPr>
                <w:b/>
                <w:bCs/>
              </w:rPr>
              <w:t>BEERS:</w:t>
            </w:r>
            <w:r>
              <w:rPr>
                <w:b/>
                <w:bCs/>
              </w:rPr>
              <w:t xml:space="preserve"> </w:t>
            </w:r>
            <w:r>
              <w:t xml:space="preserve">avoid use in older adults, increases risk of hypotension/bradycardia </w:t>
            </w:r>
          </w:p>
          <w:p w14:paraId="0C11CDEA" w14:textId="34C7634D" w:rsidR="00CB7D63" w:rsidRPr="00CB7D63" w:rsidRDefault="00CB7D63" w:rsidP="00051EAE">
            <w:r>
              <w:rPr>
                <w:b/>
                <w:bCs/>
              </w:rPr>
              <w:t xml:space="preserve">Pregnancy/breastfeeding: </w:t>
            </w:r>
            <w:r>
              <w:t>no well-controlled studies; use only if benefit outweighs risks, avoid breastfeeding, excretion unknown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21532C5" w14:textId="77777777" w:rsidR="00F44D7A" w:rsidRDefault="00F44D7A" w:rsidP="00051EAE"/>
        </w:tc>
      </w:tr>
      <w:tr w:rsidR="00F44D7A" w14:paraId="461DE732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91538DD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E338207" w14:textId="77777777" w:rsidR="00F44D7A" w:rsidRPr="00115E9A" w:rsidRDefault="00F44D7A" w:rsidP="00051E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5E9A">
              <w:rPr>
                <w:rFonts w:asciiTheme="minorHAnsi" w:hAnsiTheme="minorHAnsi" w:cstheme="minorHAnsi"/>
                <w:b/>
                <w:bCs/>
              </w:rPr>
              <w:t>Side/ Adverse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F4F479C" w14:textId="3BAC0810" w:rsidR="00F44D7A" w:rsidRPr="00AC1716" w:rsidRDefault="00AC1716" w:rsidP="00A94028">
            <w:r>
              <w:rPr>
                <w:b/>
                <w:bCs/>
              </w:rPr>
              <w:t xml:space="preserve">CNS: </w:t>
            </w:r>
            <w:r>
              <w:t xml:space="preserve">dizziness, insomnia, headache, fatigue, abnormal dreams, syncope, seizures, drowsiness, agitation, depression, confusion, hallucinations </w:t>
            </w:r>
          </w:p>
          <w:p w14:paraId="534E9DB9" w14:textId="0A8A6214" w:rsidR="00AC1716" w:rsidRPr="00AC1716" w:rsidRDefault="00AC1716" w:rsidP="00A94028">
            <w:r>
              <w:rPr>
                <w:b/>
                <w:bCs/>
              </w:rPr>
              <w:t xml:space="preserve">CV: </w:t>
            </w:r>
            <w:r>
              <w:t>a-fib, hypo/hypertension</w:t>
            </w:r>
          </w:p>
          <w:p w14:paraId="799C656F" w14:textId="08B15179" w:rsidR="00AC1716" w:rsidRPr="00AC1716" w:rsidRDefault="00AC1716" w:rsidP="00A94028">
            <w:r>
              <w:rPr>
                <w:b/>
                <w:bCs/>
              </w:rPr>
              <w:t xml:space="preserve">GI: </w:t>
            </w:r>
            <w:r>
              <w:t>nausea, vomiting, anorexia, diarrhea, abdominal pain, weight gain</w:t>
            </w:r>
          </w:p>
          <w:p w14:paraId="4E4E6B84" w14:textId="74FD0A36" w:rsidR="00AC1716" w:rsidRPr="00AC1716" w:rsidRDefault="00AC1716" w:rsidP="00A94028">
            <w:r>
              <w:rPr>
                <w:b/>
                <w:bCs/>
              </w:rPr>
              <w:t xml:space="preserve">GU: </w:t>
            </w:r>
            <w:r>
              <w:t xml:space="preserve">urinary frequency </w:t>
            </w:r>
          </w:p>
          <w:p w14:paraId="7D26615E" w14:textId="79EE9838" w:rsidR="00AC1716" w:rsidRPr="00AC1716" w:rsidRDefault="00AC1716" w:rsidP="00A94028">
            <w:r>
              <w:rPr>
                <w:b/>
                <w:bCs/>
              </w:rPr>
              <w:t xml:space="preserve">INTEG: </w:t>
            </w:r>
            <w:r>
              <w:t>rash, flushing, diaphoresis, bruising</w:t>
            </w:r>
          </w:p>
          <w:p w14:paraId="4CB52E48" w14:textId="21ECF829" w:rsidR="00AC1716" w:rsidRPr="00AC1716" w:rsidRDefault="00AC1716" w:rsidP="00A94028">
            <w:r>
              <w:rPr>
                <w:b/>
                <w:bCs/>
              </w:rPr>
              <w:t xml:space="preserve">MS: </w:t>
            </w:r>
            <w:r>
              <w:t>cramps, arthritis, arthralgia, back pain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DBD66CE" w14:textId="77777777" w:rsidR="00F44D7A" w:rsidRDefault="00F44D7A" w:rsidP="00051EAE"/>
        </w:tc>
      </w:tr>
      <w:tr w:rsidR="00F44D7A" w14:paraId="58CD1C60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043B3465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E55C840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Contraindications: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C3236F7" w14:textId="574B66CF" w:rsidR="00F44D7A" w:rsidRPr="00E61339" w:rsidRDefault="00E61339" w:rsidP="00051EAE">
            <w:r w:rsidRPr="00E61339">
              <w:t>Hypersensitivity to this product or piperi</w:t>
            </w:r>
            <w:r>
              <w:t>d</w:t>
            </w:r>
            <w:r w:rsidRPr="00E61339">
              <w:t>ine derivatives</w:t>
            </w:r>
          </w:p>
          <w:p w14:paraId="6BF03CFA" w14:textId="14ECC082" w:rsidR="00E61339" w:rsidRPr="00E61339" w:rsidRDefault="00E61339" w:rsidP="00051EAE">
            <w:r w:rsidRPr="00E61339">
              <w:rPr>
                <w:b/>
                <w:bCs/>
              </w:rPr>
              <w:t>Precautions</w:t>
            </w:r>
            <w:r>
              <w:rPr>
                <w:b/>
                <w:bCs/>
              </w:rPr>
              <w:t xml:space="preserve">: </w:t>
            </w:r>
            <w:r>
              <w:t>pregnancy, breastfeeding, children, sick sinus syndrome, history of ulcers, GI bleeding hepatic disease</w:t>
            </w:r>
            <w:r w:rsidR="00AC1716">
              <w:t>, bladder obstruction, asthma, seizures, COPD, abrupt discontinuation, AV block, GI obstructions, Parkinson’s disease, surgery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A603B3A" w14:textId="77777777" w:rsidR="00F44D7A" w:rsidRDefault="00F44D7A" w:rsidP="00051EAE"/>
        </w:tc>
      </w:tr>
      <w:tr w:rsidR="00F44D7A" w14:paraId="3E657E0B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4FC675E7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BA5EF65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Client Teaching: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09C206C" w14:textId="77777777" w:rsidR="00F44D7A" w:rsidRDefault="00CB7D63" w:rsidP="00051EAE">
            <w:r>
              <w:t>Report side effects: twitching, nausea, vomiting, sweating, dizziness (indicates cholinergic crisis/overdose)</w:t>
            </w:r>
          </w:p>
          <w:p w14:paraId="17985597" w14:textId="77777777" w:rsidR="00CB7D63" w:rsidRDefault="00CB7D63" w:rsidP="00051EAE">
            <w:r>
              <w:t>Follow-up is needed</w:t>
            </w:r>
          </w:p>
          <w:p w14:paraId="3887E240" w14:textId="77777777" w:rsidR="00CB7D63" w:rsidRDefault="00CB7D63" w:rsidP="00051EAE">
            <w:r>
              <w:t>Use product exactly as prescribed</w:t>
            </w:r>
          </w:p>
          <w:p w14:paraId="794300AE" w14:textId="77777777" w:rsidR="00CB7D63" w:rsidRDefault="00CB7D63" w:rsidP="00051EAE">
            <w:r>
              <w:t>Do not increase or abruptly decrease dose (serious side effects may result)</w:t>
            </w:r>
          </w:p>
          <w:p w14:paraId="77DDAC50" w14:textId="3B77D672" w:rsidR="00CB7D63" w:rsidRDefault="00CB7D63" w:rsidP="00051EAE">
            <w:r>
              <w:t>This product is not a cure and is intended to relieve side effects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0E2862DD" w14:textId="77777777" w:rsidR="00F44D7A" w:rsidRDefault="00F44D7A" w:rsidP="00051EAE"/>
        </w:tc>
      </w:tr>
      <w:tr w:rsidR="00F44D7A" w14:paraId="5F65B1B4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56A149F5" w14:textId="77777777" w:rsidR="00F44D7A" w:rsidRDefault="00F44D7A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49F0D4E" w14:textId="77777777" w:rsidR="00F44D7A" w:rsidRPr="00115E9A" w:rsidRDefault="00F44D7A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4CE1FE2" w14:textId="77777777" w:rsidR="00F44D7A" w:rsidRDefault="00F44D7A" w:rsidP="00051EAE"/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2AA03EE" w14:textId="77777777" w:rsidR="00F44D7A" w:rsidRDefault="00F44D7A" w:rsidP="00051EAE"/>
        </w:tc>
      </w:tr>
      <w:tr w:rsidR="00F44D7A" w:rsidRPr="004109DF" w14:paraId="6BF402A3" w14:textId="77777777" w:rsidTr="00051EAE">
        <w:trPr>
          <w:trHeight w:val="30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5F23FA" w14:textId="77777777" w:rsidR="00F44D7A" w:rsidRPr="004109DF" w:rsidRDefault="00F44D7A" w:rsidP="00051EAE"/>
        </w:tc>
      </w:tr>
    </w:tbl>
    <w:p w14:paraId="790FDFCA" w14:textId="77777777" w:rsidR="0048006D" w:rsidRDefault="0048006D"/>
    <w:sectPr w:rsidR="0048006D" w:rsidSect="00F44D7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A"/>
    <w:rsid w:val="00376604"/>
    <w:rsid w:val="0048006D"/>
    <w:rsid w:val="00657CE4"/>
    <w:rsid w:val="00782061"/>
    <w:rsid w:val="008F2F7B"/>
    <w:rsid w:val="00A94028"/>
    <w:rsid w:val="00AC1716"/>
    <w:rsid w:val="00AC5328"/>
    <w:rsid w:val="00CB7D63"/>
    <w:rsid w:val="00DE18A5"/>
    <w:rsid w:val="00E61339"/>
    <w:rsid w:val="00F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87A73"/>
  <w15:chartTrackingRefBased/>
  <w15:docId w15:val="{4C8BA417-B6AF-7841-BFC2-D32C6A90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7A"/>
    <w:rPr>
      <w:rFonts w:ascii="Calibri" w:hAnsi="Calibri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D7A"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D7A"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D7A"/>
    <w:pPr>
      <w:outlineLvl w:val="2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D7A"/>
    <w:rPr>
      <w:rFonts w:asciiTheme="majorHAnsi" w:eastAsia="Times New Roman" w:hAnsiTheme="majorHAnsi" w:cs="Tahoma"/>
      <w:b/>
      <w:color w:val="FFFFFF" w:themeColor="background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44D7A"/>
    <w:rPr>
      <w:rFonts w:asciiTheme="majorHAnsi" w:hAnsiTheme="majorHAnsi"/>
      <w:b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44D7A"/>
    <w:rPr>
      <w:rFonts w:asciiTheme="majorHAnsi" w:hAnsiTheme="majorHAnsi"/>
      <w:b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44D7A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ward.brooklyn08@gmail.com</dc:creator>
  <cp:keywords/>
  <dc:description/>
  <cp:lastModifiedBy>ward.brooklyn08@gmail.com</cp:lastModifiedBy>
  <cp:revision>3</cp:revision>
  <dcterms:created xsi:type="dcterms:W3CDTF">2022-05-02T14:31:00Z</dcterms:created>
  <dcterms:modified xsi:type="dcterms:W3CDTF">2022-05-02T14:44:00Z</dcterms:modified>
</cp:coreProperties>
</file>