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955"/>
        <w:tblW w:w="15568" w:type="dxa"/>
        <w:tblLayout w:type="fixed"/>
        <w:tblLook w:val="04A0" w:firstRow="1" w:lastRow="0" w:firstColumn="1" w:lastColumn="0" w:noHBand="0" w:noVBand="1"/>
      </w:tblPr>
      <w:tblGrid>
        <w:gridCol w:w="236"/>
        <w:gridCol w:w="2191"/>
        <w:gridCol w:w="12899"/>
        <w:gridCol w:w="242"/>
      </w:tblGrid>
      <w:tr w:rsidR="000F3E33" w:rsidRPr="001D5A88" w14:paraId="029C620F" w14:textId="77777777" w:rsidTr="00051EAE">
        <w:trPr>
          <w:trHeight w:val="267"/>
        </w:trPr>
        <w:tc>
          <w:tcPr>
            <w:tcW w:w="15568" w:type="dxa"/>
            <w:gridSpan w:val="4"/>
            <w:tcBorders>
              <w:top w:val="single" w:sz="4" w:space="0" w:color="auto"/>
              <w:left w:val="single" w:sz="4" w:space="0" w:color="auto"/>
              <w:bottom w:val="nil"/>
              <w:right w:val="single" w:sz="4" w:space="0" w:color="auto"/>
            </w:tcBorders>
            <w:shd w:val="clear" w:color="auto" w:fill="3B3838" w:themeFill="background2" w:themeFillShade="40"/>
            <w:vAlign w:val="center"/>
          </w:tcPr>
          <w:p w14:paraId="7EDD15DB" w14:textId="6EF5FDD7" w:rsidR="000F3E33" w:rsidRPr="001D5A88" w:rsidRDefault="000F3E33" w:rsidP="00051EAE">
            <w:pPr>
              <w:pStyle w:val="Heading1"/>
              <w:outlineLvl w:val="0"/>
              <w:rPr>
                <w:sz w:val="24"/>
                <w:szCs w:val="24"/>
                <w:lang w:val="en-CA"/>
              </w:rPr>
            </w:pPr>
            <w:r w:rsidRPr="00D82A9D">
              <w:rPr>
                <w:sz w:val="24"/>
                <w:szCs w:val="24"/>
              </w:rPr>
              <w:t>Generic &amp; Trade Name of Drug:</w:t>
            </w:r>
            <w:r w:rsidRPr="001D5A88">
              <w:rPr>
                <w:rFonts w:asciiTheme="minorHAnsi" w:eastAsiaTheme="minorEastAsia" w:hAnsiTheme="minorHAnsi"/>
                <w:sz w:val="22"/>
                <w:szCs w:val="22"/>
                <w:lang w:val="en-CA"/>
              </w:rPr>
              <w:t xml:space="preserve"> </w:t>
            </w:r>
            <w:r>
              <w:rPr>
                <w:sz w:val="24"/>
                <w:szCs w:val="24"/>
                <w:lang w:val="en-CA"/>
              </w:rPr>
              <w:t xml:space="preserve">Quetiapine </w:t>
            </w:r>
            <w:r w:rsidR="00283375">
              <w:rPr>
                <w:sz w:val="24"/>
                <w:szCs w:val="24"/>
                <w:lang w:val="en-CA"/>
              </w:rPr>
              <w:t>(Seroquel)</w:t>
            </w:r>
          </w:p>
        </w:tc>
      </w:tr>
      <w:tr w:rsidR="000F3E33" w:rsidRPr="00605CCB" w14:paraId="44460D73" w14:textId="77777777" w:rsidTr="00051EAE">
        <w:trPr>
          <w:trHeight w:val="253"/>
        </w:trPr>
        <w:tc>
          <w:tcPr>
            <w:tcW w:w="15568" w:type="dxa"/>
            <w:gridSpan w:val="4"/>
            <w:tcBorders>
              <w:top w:val="nil"/>
              <w:left w:val="single" w:sz="4" w:space="0" w:color="auto"/>
              <w:bottom w:val="nil"/>
              <w:right w:val="single" w:sz="4" w:space="0" w:color="auto"/>
            </w:tcBorders>
            <w:shd w:val="clear" w:color="auto" w:fill="D0CECE" w:themeFill="background2" w:themeFillShade="E6"/>
            <w:vAlign w:val="center"/>
          </w:tcPr>
          <w:p w14:paraId="446A7CE4" w14:textId="6D62AA2D" w:rsidR="000F3E33" w:rsidRPr="00605CCB" w:rsidRDefault="000F3E33" w:rsidP="00051EAE">
            <w:pPr>
              <w:pStyle w:val="Heading2"/>
              <w:outlineLvl w:val="1"/>
              <w:rPr>
                <w:i/>
                <w:iCs/>
                <w:sz w:val="22"/>
                <w:szCs w:val="22"/>
              </w:rPr>
            </w:pPr>
            <w:proofErr w:type="spellStart"/>
            <w:r w:rsidRPr="00605CCB">
              <w:rPr>
                <w:i/>
                <w:iCs/>
                <w:sz w:val="22"/>
                <w:szCs w:val="22"/>
              </w:rPr>
              <w:t>Func</w:t>
            </w:r>
            <w:proofErr w:type="spellEnd"/>
            <w:r w:rsidRPr="00605CCB">
              <w:rPr>
                <w:i/>
                <w:iCs/>
                <w:sz w:val="22"/>
                <w:szCs w:val="22"/>
              </w:rPr>
              <w:t xml:space="preserve">. Class: </w:t>
            </w:r>
            <w:r w:rsidR="00283375">
              <w:rPr>
                <w:i/>
                <w:iCs/>
                <w:sz w:val="22"/>
                <w:szCs w:val="22"/>
              </w:rPr>
              <w:t>Antipsychotic, atypical</w:t>
            </w:r>
          </w:p>
        </w:tc>
      </w:tr>
      <w:tr w:rsidR="000F3E33" w14:paraId="589CB8AF" w14:textId="77777777" w:rsidTr="00051EAE">
        <w:trPr>
          <w:gridAfter w:val="1"/>
          <w:wAfter w:w="242" w:type="dxa"/>
          <w:trHeight w:val="70"/>
        </w:trPr>
        <w:tc>
          <w:tcPr>
            <w:tcW w:w="236"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4E7EBE5B" w14:textId="77777777" w:rsidR="000F3E33" w:rsidRDefault="000F3E33" w:rsidP="00051EAE"/>
        </w:tc>
        <w:tc>
          <w:tcPr>
            <w:tcW w:w="2191"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6F599122" w14:textId="77777777" w:rsidR="000F3E33" w:rsidRPr="00115E9A" w:rsidRDefault="000F3E33" w:rsidP="00051EAE">
            <w:pPr>
              <w:pStyle w:val="Heading3"/>
              <w:jc w:val="center"/>
              <w:outlineLvl w:val="2"/>
              <w:rPr>
                <w:rFonts w:asciiTheme="minorHAnsi" w:hAnsiTheme="minorHAnsi" w:cstheme="minorHAnsi"/>
              </w:rPr>
            </w:pPr>
            <w:r w:rsidRPr="00115E9A">
              <w:rPr>
                <w:rFonts w:asciiTheme="minorHAnsi" w:hAnsiTheme="minorHAnsi" w:cstheme="minorHAnsi"/>
              </w:rPr>
              <w:t>Indications/ Therapeutic Effects:</w:t>
            </w:r>
          </w:p>
        </w:tc>
        <w:tc>
          <w:tcPr>
            <w:tcW w:w="12899"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031088A5" w14:textId="77777777" w:rsidR="000F3E33" w:rsidRDefault="00283375" w:rsidP="00051EAE">
            <w:r>
              <w:t>For bipolar disorder, depression, mania, schizophrenia, an borderline personality disorder</w:t>
            </w:r>
          </w:p>
          <w:p w14:paraId="5A21AAA7" w14:textId="4160FEEB" w:rsidR="000A67D9" w:rsidRDefault="000A67D9" w:rsidP="00051EAE">
            <w:r>
              <w:t xml:space="preserve">Decrease in emotional excitement, hallucinations, delusions, paranoia, reorganizations of patterns of thought and speech </w:t>
            </w:r>
          </w:p>
        </w:tc>
      </w:tr>
      <w:tr w:rsidR="000F3E33" w14:paraId="68D04E0D" w14:textId="77777777" w:rsidTr="00051EAE">
        <w:trPr>
          <w:gridAfter w:val="1"/>
          <w:wAfter w:w="242" w:type="dxa"/>
          <w:trHeight w:val="30"/>
        </w:trPr>
        <w:tc>
          <w:tcPr>
            <w:tcW w:w="236"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0F66009F" w14:textId="77777777" w:rsidR="000F3E33" w:rsidRDefault="000F3E33" w:rsidP="00051EAE"/>
        </w:tc>
        <w:tc>
          <w:tcPr>
            <w:tcW w:w="2191"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57328E94" w14:textId="77777777" w:rsidR="000F3E33" w:rsidRPr="00115E9A" w:rsidRDefault="000F3E33" w:rsidP="00051EAE">
            <w:pPr>
              <w:pStyle w:val="Heading3"/>
              <w:jc w:val="center"/>
              <w:outlineLvl w:val="2"/>
              <w:rPr>
                <w:rFonts w:asciiTheme="minorHAnsi" w:hAnsiTheme="minorHAnsi" w:cstheme="minorHAnsi"/>
              </w:rPr>
            </w:pPr>
            <w:r w:rsidRPr="00115E9A">
              <w:rPr>
                <w:rFonts w:asciiTheme="minorHAnsi" w:hAnsiTheme="minorHAnsi" w:cstheme="minorHAnsi"/>
              </w:rPr>
              <w:t>Routes of Administration:</w:t>
            </w:r>
          </w:p>
        </w:tc>
        <w:tc>
          <w:tcPr>
            <w:tcW w:w="12899"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4994B428" w14:textId="4E833CF6" w:rsidR="000F3E33" w:rsidRDefault="00283375" w:rsidP="00051EAE">
            <w:r>
              <w:t>PO</w:t>
            </w:r>
          </w:p>
        </w:tc>
      </w:tr>
      <w:tr w:rsidR="000F3E33" w:rsidRPr="00605CCB" w14:paraId="3A465C57" w14:textId="77777777" w:rsidTr="00051EAE">
        <w:trPr>
          <w:gridAfter w:val="1"/>
          <w:wAfter w:w="242" w:type="dxa"/>
          <w:trHeight w:val="374"/>
        </w:trPr>
        <w:tc>
          <w:tcPr>
            <w:tcW w:w="236"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1A4F3BAA" w14:textId="77777777" w:rsidR="000F3E33" w:rsidRDefault="000F3E33" w:rsidP="00051EAE"/>
        </w:tc>
        <w:tc>
          <w:tcPr>
            <w:tcW w:w="2191"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6CB0B4A8" w14:textId="77777777" w:rsidR="000F3E33" w:rsidRPr="00115E9A" w:rsidRDefault="000F3E33" w:rsidP="00051EAE">
            <w:pPr>
              <w:pStyle w:val="Heading3"/>
              <w:jc w:val="center"/>
              <w:outlineLvl w:val="2"/>
              <w:rPr>
                <w:rFonts w:asciiTheme="minorHAnsi" w:hAnsiTheme="minorHAnsi" w:cstheme="minorHAnsi"/>
              </w:rPr>
            </w:pPr>
            <w:r w:rsidRPr="00115E9A">
              <w:rPr>
                <w:rFonts w:asciiTheme="minorHAnsi" w:hAnsiTheme="minorHAnsi" w:cstheme="minorHAnsi"/>
              </w:rPr>
              <w:t>Pharmacokinetics:</w:t>
            </w:r>
          </w:p>
        </w:tc>
        <w:tc>
          <w:tcPr>
            <w:tcW w:w="12899"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520F914F" w14:textId="201C1BF1" w:rsidR="000F3E33" w:rsidRPr="00283375" w:rsidRDefault="00283375" w:rsidP="00051EAE">
            <w:r w:rsidRPr="00283375">
              <w:t xml:space="preserve">Extensively </w:t>
            </w:r>
            <w:r>
              <w:t>metabolized by the liver, half-life &gt;6 hours, peak 1 ½ hours, extended release 6 hours. Inhibits P450 CYP3A4 system, excretion: &lt;1% unchanged urine</w:t>
            </w:r>
          </w:p>
        </w:tc>
      </w:tr>
      <w:tr w:rsidR="000F3E33" w:rsidRPr="00D91415" w14:paraId="07A66709" w14:textId="77777777" w:rsidTr="00051EAE">
        <w:trPr>
          <w:gridAfter w:val="1"/>
          <w:wAfter w:w="242" w:type="dxa"/>
          <w:trHeight w:val="374"/>
        </w:trPr>
        <w:tc>
          <w:tcPr>
            <w:tcW w:w="236"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38514AE0" w14:textId="77777777" w:rsidR="000F3E33" w:rsidRDefault="000F3E33" w:rsidP="00051EAE"/>
        </w:tc>
        <w:tc>
          <w:tcPr>
            <w:tcW w:w="2191"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21B241FA" w14:textId="77777777" w:rsidR="000F3E33" w:rsidRPr="00115E9A" w:rsidRDefault="000F3E33" w:rsidP="00051EAE">
            <w:pPr>
              <w:pStyle w:val="Heading3"/>
              <w:jc w:val="center"/>
              <w:outlineLvl w:val="2"/>
              <w:rPr>
                <w:rFonts w:asciiTheme="minorHAnsi" w:hAnsiTheme="minorHAnsi" w:cstheme="minorHAnsi"/>
              </w:rPr>
            </w:pPr>
            <w:r w:rsidRPr="00115E9A">
              <w:rPr>
                <w:rFonts w:asciiTheme="minorHAnsi" w:hAnsiTheme="minorHAnsi" w:cstheme="minorHAnsi"/>
              </w:rPr>
              <w:t>Nursing Implications/ Assessments:</w:t>
            </w:r>
          </w:p>
        </w:tc>
        <w:tc>
          <w:tcPr>
            <w:tcW w:w="12899"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1BAC6264" w14:textId="77777777" w:rsidR="000F3E33" w:rsidRDefault="00782CCF" w:rsidP="00051EAE">
            <w:r>
              <w:t>Increases CNS depression, hypotension, neurotoxicity, effects of erythromycin</w:t>
            </w:r>
          </w:p>
          <w:p w14:paraId="6E032A48" w14:textId="1DB7F8B6" w:rsidR="00B9456B" w:rsidRDefault="00782CCF" w:rsidP="00051EAE">
            <w:r w:rsidRPr="00B9456B">
              <w:rPr>
                <w:b/>
                <w:bCs/>
              </w:rPr>
              <w:t>CV status</w:t>
            </w:r>
            <w:r w:rsidR="00B9456B" w:rsidRPr="00B9456B">
              <w:rPr>
                <w:b/>
                <w:bCs/>
              </w:rPr>
              <w:t>:</w:t>
            </w:r>
            <w:r>
              <w:t xml:space="preserve"> QT prolongation, tachycardia, orthostatic BP</w:t>
            </w:r>
          </w:p>
          <w:p w14:paraId="3E1155AA" w14:textId="77777777" w:rsidR="00B9456B" w:rsidRDefault="00B9456B" w:rsidP="00051EAE">
            <w:r>
              <w:t>B</w:t>
            </w:r>
            <w:r w:rsidR="00782CCF">
              <w:t xml:space="preserve">aseline glucose, CBC, LFTs, </w:t>
            </w:r>
          </w:p>
          <w:p w14:paraId="14D8DDC9" w14:textId="53DF2A14" w:rsidR="00782CCF" w:rsidRDefault="00B9456B" w:rsidP="00051EAE">
            <w:r>
              <w:t>B</w:t>
            </w:r>
            <w:r w:rsidR="00782CCF">
              <w:t xml:space="preserve">lood pressure </w:t>
            </w:r>
            <w:r>
              <w:t>, dizziness, faintness, palpations, tachycardia</w:t>
            </w:r>
          </w:p>
          <w:p w14:paraId="335E33C2" w14:textId="1E1F498D" w:rsidR="00B9456B" w:rsidRDefault="00B9456B" w:rsidP="00051EAE">
            <w:r w:rsidRPr="00B9456B">
              <w:rPr>
                <w:b/>
                <w:bCs/>
              </w:rPr>
              <w:t>EPS:</w:t>
            </w:r>
            <w:r>
              <w:rPr>
                <w:b/>
                <w:bCs/>
              </w:rPr>
              <w:t xml:space="preserve"> </w:t>
            </w:r>
            <w:r w:rsidR="008A14CA">
              <w:t>akathisia</w:t>
            </w:r>
            <w:r>
              <w:t xml:space="preserve">, tardive dyskinesia, </w:t>
            </w:r>
            <w:r w:rsidR="008A14CA">
              <w:t>pseudo parkinsonism</w:t>
            </w:r>
          </w:p>
          <w:p w14:paraId="2A5DFFAC" w14:textId="4B70D4F1" w:rsidR="00E0239C" w:rsidRDefault="008A14CA" w:rsidP="00051EAE">
            <w:r w:rsidRPr="008A14CA">
              <w:rPr>
                <w:b/>
                <w:bCs/>
              </w:rPr>
              <w:t>Serious Rash</w:t>
            </w:r>
            <w:r>
              <w:rPr>
                <w:b/>
                <w:bCs/>
              </w:rPr>
              <w:t xml:space="preserve">: </w:t>
            </w:r>
            <w:r>
              <w:t xml:space="preserve">assess for Stevens-Johnson syndrome, discontinue if rash continues </w:t>
            </w:r>
          </w:p>
          <w:p w14:paraId="1BDEBFCD" w14:textId="349D948D" w:rsidR="008A14CA" w:rsidRDefault="008A14CA" w:rsidP="00051EAE">
            <w:r w:rsidRPr="008A14CA">
              <w:rPr>
                <w:b/>
                <w:bCs/>
              </w:rPr>
              <w:t>Pancreatitis</w:t>
            </w:r>
            <w:r>
              <w:rPr>
                <w:b/>
                <w:bCs/>
              </w:rPr>
              <w:t xml:space="preserve">: </w:t>
            </w:r>
            <w:r>
              <w:t>assess for nausea, vomiting, severe abdominal pain</w:t>
            </w:r>
          </w:p>
          <w:p w14:paraId="1C58C5CF" w14:textId="709B3217" w:rsidR="008A14CA" w:rsidRDefault="008A14CA" w:rsidP="00051EAE">
            <w:r>
              <w:rPr>
                <w:b/>
                <w:bCs/>
              </w:rPr>
              <w:t xml:space="preserve">Neuroleptic Malignant Syndrome: </w:t>
            </w:r>
            <w:r>
              <w:t>hyperthermia, increased CPK, altered mental status</w:t>
            </w:r>
          </w:p>
          <w:p w14:paraId="0CDDA0D5" w14:textId="2429E278" w:rsidR="008A14CA" w:rsidRDefault="008A14CA" w:rsidP="00051EAE">
            <w:r w:rsidRPr="008A14CA">
              <w:rPr>
                <w:b/>
                <w:bCs/>
              </w:rPr>
              <w:t>DRESS</w:t>
            </w:r>
            <w:r>
              <w:rPr>
                <w:b/>
                <w:bCs/>
              </w:rPr>
              <w:t xml:space="preserve">: </w:t>
            </w:r>
            <w:r>
              <w:t>fever, hepatitis, swelling of the face, myositis, monitor eosinophils</w:t>
            </w:r>
          </w:p>
          <w:p w14:paraId="75E1E517" w14:textId="5F5C2F11" w:rsidR="008A14CA" w:rsidRDefault="008A14CA" w:rsidP="00051EAE">
            <w:r w:rsidRPr="008A14CA">
              <w:rPr>
                <w:b/>
                <w:bCs/>
              </w:rPr>
              <w:t>Hyperprolactinemia:</w:t>
            </w:r>
            <w:r>
              <w:rPr>
                <w:b/>
                <w:bCs/>
              </w:rPr>
              <w:t xml:space="preserve"> </w:t>
            </w:r>
            <w:r>
              <w:t>sexual dysfunction, menstrual changes</w:t>
            </w:r>
          </w:p>
          <w:p w14:paraId="6E868E5E" w14:textId="3EC553AF" w:rsidR="00B53106" w:rsidRPr="00B53106" w:rsidRDefault="00B53106" w:rsidP="00051EAE">
            <w:r w:rsidRPr="00B53106">
              <w:rPr>
                <w:b/>
                <w:bCs/>
              </w:rPr>
              <w:t>BEERS</w:t>
            </w:r>
            <w:r>
              <w:rPr>
                <w:b/>
                <w:bCs/>
              </w:rPr>
              <w:t xml:space="preserve">: </w:t>
            </w:r>
            <w:r>
              <w:t>avoid in older adults except for schizophrenia, bipolar disorder, or as a short-term antiemetic for chemotherapy</w:t>
            </w:r>
          </w:p>
          <w:p w14:paraId="64D2CAC5" w14:textId="77777777" w:rsidR="000A67D9" w:rsidRDefault="000A67D9" w:rsidP="00051EAE">
            <w:r>
              <w:t>Black box warning: assess mental status before administration</w:t>
            </w:r>
          </w:p>
          <w:p w14:paraId="2CDEAF89" w14:textId="77777777" w:rsidR="000A67D9" w:rsidRDefault="000A67D9" w:rsidP="00051EAE">
            <w:r>
              <w:t>Black box warning: not to be used in children &lt;10</w:t>
            </w:r>
          </w:p>
          <w:p w14:paraId="5845C514" w14:textId="001A9E89" w:rsidR="000A67D9" w:rsidRPr="00D91415" w:rsidRDefault="000A67D9" w:rsidP="00051EAE">
            <w:r>
              <w:t>Black box warning: suicide (notify prescriber regarding any suicidal thoughts/behaviours, primarily in adolescents/teens)</w:t>
            </w:r>
          </w:p>
        </w:tc>
      </w:tr>
      <w:tr w:rsidR="000F3E33" w:rsidRPr="00D91415" w14:paraId="3710343F" w14:textId="77777777" w:rsidTr="00051EAE">
        <w:trPr>
          <w:gridAfter w:val="1"/>
          <w:wAfter w:w="242" w:type="dxa"/>
          <w:trHeight w:val="374"/>
        </w:trPr>
        <w:tc>
          <w:tcPr>
            <w:tcW w:w="236"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15CB84C9" w14:textId="77777777" w:rsidR="000F3E33" w:rsidRDefault="000F3E33" w:rsidP="00051EAE"/>
        </w:tc>
        <w:tc>
          <w:tcPr>
            <w:tcW w:w="2191"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3BB1D58E" w14:textId="77777777" w:rsidR="000F3E33" w:rsidRPr="00115E9A" w:rsidRDefault="000F3E33" w:rsidP="00051EAE">
            <w:pPr>
              <w:jc w:val="center"/>
              <w:rPr>
                <w:rFonts w:asciiTheme="minorHAnsi" w:hAnsiTheme="minorHAnsi" w:cstheme="minorHAnsi"/>
                <w:b/>
                <w:bCs/>
              </w:rPr>
            </w:pPr>
            <w:r w:rsidRPr="00115E9A">
              <w:rPr>
                <w:rFonts w:asciiTheme="minorHAnsi" w:hAnsiTheme="minorHAnsi" w:cstheme="minorHAnsi"/>
                <w:b/>
                <w:bCs/>
              </w:rPr>
              <w:t>Side/ Adverse Effects:</w:t>
            </w:r>
          </w:p>
        </w:tc>
        <w:tc>
          <w:tcPr>
            <w:tcW w:w="12899"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305A8DD1" w14:textId="4687190C" w:rsidR="000F3E33" w:rsidRDefault="000F3E33" w:rsidP="00051EAE">
            <w:r>
              <w:rPr>
                <w:b/>
                <w:bCs/>
              </w:rPr>
              <w:t>CNS:</w:t>
            </w:r>
            <w:r>
              <w:t xml:space="preserve"> </w:t>
            </w:r>
            <w:r w:rsidR="00371D01">
              <w:t>EPS, pseudo parkinsonism, akathisia, dystonia, tardive dyskinesia, drowsiness, insomnia, agitation, anxiety, headache, seizures, neuroleptic malignant syndrome, dizziness, dystonia, restless legs</w:t>
            </w:r>
          </w:p>
          <w:p w14:paraId="1CFF4D9D" w14:textId="56D19B27" w:rsidR="000F3E33" w:rsidRDefault="000F3E33" w:rsidP="00051EAE">
            <w:r>
              <w:rPr>
                <w:b/>
                <w:bCs/>
              </w:rPr>
              <w:t>CV:</w:t>
            </w:r>
            <w:r>
              <w:t xml:space="preserve"> </w:t>
            </w:r>
            <w:r w:rsidR="00371D01">
              <w:t>orthostatic hypotension, tachycardia, QT prolongation, CV disease, Parkinson’s disease, cardiomyopathy, myocarditis</w:t>
            </w:r>
          </w:p>
          <w:p w14:paraId="47BE0A75" w14:textId="13A59B36" w:rsidR="00371D01" w:rsidRPr="00371D01" w:rsidRDefault="00371D01" w:rsidP="00051EAE">
            <w:r>
              <w:rPr>
                <w:b/>
                <w:bCs/>
              </w:rPr>
              <w:t xml:space="preserve">ENDO: </w:t>
            </w:r>
            <w:r>
              <w:t>SIADH, hyperglycemia</w:t>
            </w:r>
          </w:p>
          <w:p w14:paraId="0EFD8E8E" w14:textId="06A999D6" w:rsidR="000F3E33" w:rsidRDefault="000F3E33" w:rsidP="00051EAE">
            <w:r>
              <w:rPr>
                <w:b/>
                <w:bCs/>
              </w:rPr>
              <w:t>GI:</w:t>
            </w:r>
            <w:r>
              <w:t xml:space="preserve"> </w:t>
            </w:r>
            <w:r w:rsidR="00371D01">
              <w:t>pancreatitis, nausea, anorexia, constipation, abdominal pain, dry mouth</w:t>
            </w:r>
          </w:p>
          <w:p w14:paraId="337F5533" w14:textId="1444ADE6" w:rsidR="00371D01" w:rsidRPr="00371D01" w:rsidRDefault="00371D01" w:rsidP="00051EAE">
            <w:r w:rsidRPr="00371D01">
              <w:rPr>
                <w:b/>
                <w:bCs/>
              </w:rPr>
              <w:t>HEMA</w:t>
            </w:r>
            <w:r>
              <w:rPr>
                <w:b/>
                <w:bCs/>
              </w:rPr>
              <w:t xml:space="preserve">: </w:t>
            </w:r>
            <w:r>
              <w:t>leukopenia, agranulocytosis</w:t>
            </w:r>
          </w:p>
          <w:p w14:paraId="68BC79B1" w14:textId="228F0E1C" w:rsidR="000F3E33" w:rsidRDefault="000F3E33" w:rsidP="00051EAE">
            <w:r>
              <w:rPr>
                <w:b/>
                <w:bCs/>
              </w:rPr>
              <w:t>INTEG:</w:t>
            </w:r>
            <w:r>
              <w:t xml:space="preserve"> rash,</w:t>
            </w:r>
            <w:r w:rsidR="004C775D">
              <w:t xml:space="preserve"> DRESS</w:t>
            </w:r>
          </w:p>
          <w:p w14:paraId="651D0097" w14:textId="227805EE" w:rsidR="004C775D" w:rsidRPr="004C775D" w:rsidRDefault="004C775D" w:rsidP="00051EAE">
            <w:r w:rsidRPr="004C775D">
              <w:rPr>
                <w:b/>
                <w:bCs/>
              </w:rPr>
              <w:t>META</w:t>
            </w:r>
            <w:r>
              <w:rPr>
                <w:b/>
                <w:bCs/>
              </w:rPr>
              <w:t xml:space="preserve">: </w:t>
            </w:r>
            <w:r>
              <w:t>hyponatremia</w:t>
            </w:r>
          </w:p>
          <w:p w14:paraId="58B8E585" w14:textId="0A66BBBF" w:rsidR="004C775D" w:rsidRPr="004C775D" w:rsidRDefault="004C775D" w:rsidP="00051EAE">
            <w:pPr>
              <w:rPr>
                <w:b/>
                <w:bCs/>
              </w:rPr>
            </w:pPr>
            <w:r w:rsidRPr="004C775D">
              <w:rPr>
                <w:b/>
                <w:bCs/>
              </w:rPr>
              <w:t>MISC</w:t>
            </w:r>
            <w:r>
              <w:rPr>
                <w:b/>
                <w:bCs/>
              </w:rPr>
              <w:t xml:space="preserve">: </w:t>
            </w:r>
            <w:r w:rsidRPr="004C775D">
              <w:t>asthenia, back pain, fever, ear pain</w:t>
            </w:r>
          </w:p>
          <w:p w14:paraId="5C46ACF4" w14:textId="421DC500" w:rsidR="004C775D" w:rsidRPr="004C775D" w:rsidRDefault="004C775D" w:rsidP="00051EAE">
            <w:r w:rsidRPr="004C775D">
              <w:rPr>
                <w:b/>
                <w:bCs/>
              </w:rPr>
              <w:t>MS</w:t>
            </w:r>
            <w:r>
              <w:rPr>
                <w:b/>
                <w:bCs/>
              </w:rPr>
              <w:t xml:space="preserve">: </w:t>
            </w:r>
            <w:r>
              <w:t>rhabdomyolysis</w:t>
            </w:r>
          </w:p>
          <w:p w14:paraId="21956C5F" w14:textId="636C6BAB" w:rsidR="000F3E33" w:rsidRDefault="000F3E33" w:rsidP="00051EAE">
            <w:r>
              <w:rPr>
                <w:b/>
                <w:bCs/>
              </w:rPr>
              <w:t>RESP:</w:t>
            </w:r>
            <w:r>
              <w:t xml:space="preserve"> </w:t>
            </w:r>
            <w:r w:rsidR="004C775D">
              <w:t xml:space="preserve">rhinitis </w:t>
            </w:r>
          </w:p>
          <w:p w14:paraId="7C6B2FA8" w14:textId="5B2CEBAA" w:rsidR="000F3E33" w:rsidRPr="004C775D" w:rsidRDefault="004C775D" w:rsidP="00051EAE">
            <w:r>
              <w:rPr>
                <w:b/>
                <w:bCs/>
              </w:rPr>
              <w:t xml:space="preserve">SYST: </w:t>
            </w:r>
            <w:r>
              <w:t xml:space="preserve">Stevens-Johnson syndrome, anaphylaxis </w:t>
            </w:r>
          </w:p>
        </w:tc>
      </w:tr>
      <w:tr w:rsidR="000F3E33" w14:paraId="42B698D9" w14:textId="77777777" w:rsidTr="00051EAE">
        <w:trPr>
          <w:gridAfter w:val="1"/>
          <w:wAfter w:w="242" w:type="dxa"/>
          <w:trHeight w:val="374"/>
        </w:trPr>
        <w:tc>
          <w:tcPr>
            <w:tcW w:w="236"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03B1243D" w14:textId="77777777" w:rsidR="000F3E33" w:rsidRDefault="000F3E33" w:rsidP="00051EAE"/>
        </w:tc>
        <w:tc>
          <w:tcPr>
            <w:tcW w:w="2191"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3DC7F959" w14:textId="77777777" w:rsidR="000F3E33" w:rsidRPr="00115E9A" w:rsidRDefault="000F3E33" w:rsidP="00051EAE">
            <w:pPr>
              <w:pStyle w:val="Heading3"/>
              <w:jc w:val="center"/>
              <w:outlineLvl w:val="2"/>
              <w:rPr>
                <w:rFonts w:asciiTheme="minorHAnsi" w:hAnsiTheme="minorHAnsi" w:cstheme="minorHAnsi"/>
              </w:rPr>
            </w:pPr>
            <w:r w:rsidRPr="00115E9A">
              <w:rPr>
                <w:rFonts w:asciiTheme="minorHAnsi" w:hAnsiTheme="minorHAnsi" w:cstheme="minorHAnsi"/>
              </w:rPr>
              <w:t>Contraindications:</w:t>
            </w:r>
          </w:p>
        </w:tc>
        <w:tc>
          <w:tcPr>
            <w:tcW w:w="12899"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1E426BFA" w14:textId="77777777" w:rsidR="00371D01" w:rsidRDefault="000F3E33" w:rsidP="00051EAE">
            <w:r>
              <w:t>Hypersensitivity</w:t>
            </w:r>
            <w:r w:rsidR="00283375">
              <w:t xml:space="preserve">, breastfeeding </w:t>
            </w:r>
          </w:p>
          <w:p w14:paraId="3BB5A638" w14:textId="7F41E6DB" w:rsidR="000F3E33" w:rsidRDefault="00371D01" w:rsidP="00051EAE">
            <w:r w:rsidRPr="00371D01">
              <w:rPr>
                <w:b/>
                <w:bCs/>
              </w:rPr>
              <w:t>Precautions</w:t>
            </w:r>
            <w:r w:rsidR="00283375">
              <w:t xml:space="preserve">: pregnancy, geriatric patients, </w:t>
            </w:r>
            <w:r>
              <w:t>hepatic/cardiac disease, breast cancer, long-term use, seizure, QT prolongation, brain tumour, hematological disease, abrupt discontinuation</w:t>
            </w:r>
          </w:p>
        </w:tc>
      </w:tr>
      <w:tr w:rsidR="000F3E33" w14:paraId="6F57972B" w14:textId="77777777" w:rsidTr="00051EAE">
        <w:trPr>
          <w:gridAfter w:val="1"/>
          <w:wAfter w:w="242" w:type="dxa"/>
          <w:trHeight w:val="374"/>
        </w:trPr>
        <w:tc>
          <w:tcPr>
            <w:tcW w:w="236"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721282E3" w14:textId="77777777" w:rsidR="000F3E33" w:rsidRDefault="000F3E33" w:rsidP="00051EAE"/>
        </w:tc>
        <w:tc>
          <w:tcPr>
            <w:tcW w:w="2191"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4B34384C" w14:textId="77777777" w:rsidR="000F3E33" w:rsidRPr="00115E9A" w:rsidRDefault="000F3E33" w:rsidP="00051EAE">
            <w:pPr>
              <w:pStyle w:val="Heading3"/>
              <w:jc w:val="center"/>
              <w:outlineLvl w:val="2"/>
              <w:rPr>
                <w:rFonts w:asciiTheme="minorHAnsi" w:hAnsiTheme="minorHAnsi" w:cstheme="minorHAnsi"/>
              </w:rPr>
            </w:pPr>
            <w:r w:rsidRPr="00115E9A">
              <w:rPr>
                <w:rFonts w:asciiTheme="minorHAnsi" w:hAnsiTheme="minorHAnsi" w:cstheme="minorHAnsi"/>
              </w:rPr>
              <w:t>Client Teaching:</w:t>
            </w:r>
          </w:p>
        </w:tc>
        <w:tc>
          <w:tcPr>
            <w:tcW w:w="12899"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2D60A2F0" w14:textId="4FCEEC81" w:rsidR="000F3E33" w:rsidRDefault="00782CCF" w:rsidP="00051EAE">
            <w:r>
              <w:t xml:space="preserve">Drink plenty of fluids, rise slowly to prevent orthostatic hypotension, take medication as prescribed (do not crush or chew, do not use with alcohol, take tabs without food, adhere to follow up bloodwork appointments), avoid certain OTC medications and supplements unless discussed with HCP, notify prescriber if you have a fever, </w:t>
            </w:r>
            <w:proofErr w:type="spellStart"/>
            <w:r>
              <w:t>diffivulty</w:t>
            </w:r>
            <w:proofErr w:type="spellEnd"/>
            <w:r>
              <w:t xml:space="preserve"> breathing, fatigue, rash, or bleeding</w:t>
            </w:r>
          </w:p>
        </w:tc>
      </w:tr>
      <w:tr w:rsidR="000F3E33" w14:paraId="6ADE3984" w14:textId="77777777" w:rsidTr="00051EAE">
        <w:trPr>
          <w:gridAfter w:val="1"/>
          <w:wAfter w:w="242" w:type="dxa"/>
          <w:trHeight w:val="374"/>
        </w:trPr>
        <w:tc>
          <w:tcPr>
            <w:tcW w:w="236"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0E4F3F7D" w14:textId="77777777" w:rsidR="000F3E33" w:rsidRDefault="000F3E33" w:rsidP="00051EAE"/>
        </w:tc>
        <w:tc>
          <w:tcPr>
            <w:tcW w:w="2191"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1143636C" w14:textId="77777777" w:rsidR="000F3E33" w:rsidRPr="00115E9A" w:rsidRDefault="000F3E33" w:rsidP="00051EAE">
            <w:pPr>
              <w:pStyle w:val="Heading3"/>
              <w:jc w:val="center"/>
              <w:outlineLvl w:val="2"/>
              <w:rPr>
                <w:rFonts w:asciiTheme="minorHAnsi" w:hAnsiTheme="minorHAnsi" w:cstheme="minorHAnsi"/>
              </w:rPr>
            </w:pPr>
            <w:r>
              <w:rPr>
                <w:rFonts w:asciiTheme="minorHAnsi" w:hAnsiTheme="minorHAnsi" w:cstheme="minorHAnsi"/>
              </w:rPr>
              <w:t>OTHER</w:t>
            </w:r>
          </w:p>
        </w:tc>
        <w:tc>
          <w:tcPr>
            <w:tcW w:w="12899"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6149E4DF" w14:textId="2F24B117" w:rsidR="000F3E33" w:rsidRDefault="000F3E33" w:rsidP="00051EAE"/>
        </w:tc>
      </w:tr>
      <w:tr w:rsidR="000F3E33" w:rsidRPr="004109DF" w14:paraId="53215A84" w14:textId="77777777" w:rsidTr="00051EAE">
        <w:trPr>
          <w:trHeight w:val="30"/>
        </w:trPr>
        <w:tc>
          <w:tcPr>
            <w:tcW w:w="15568" w:type="dxa"/>
            <w:gridSpan w:val="4"/>
            <w:tcBorders>
              <w:top w:val="nil"/>
              <w:left w:val="single" w:sz="4" w:space="0" w:color="auto"/>
              <w:bottom w:val="single" w:sz="4" w:space="0" w:color="auto"/>
              <w:right w:val="single" w:sz="4" w:space="0" w:color="auto"/>
            </w:tcBorders>
            <w:shd w:val="clear" w:color="auto" w:fill="D0CECE" w:themeFill="background2" w:themeFillShade="E6"/>
            <w:vAlign w:val="center"/>
          </w:tcPr>
          <w:p w14:paraId="6A517C7B" w14:textId="77777777" w:rsidR="000F3E33" w:rsidRPr="004109DF" w:rsidRDefault="000F3E33" w:rsidP="00051EAE"/>
        </w:tc>
      </w:tr>
    </w:tbl>
    <w:p w14:paraId="695BA7EC" w14:textId="77777777" w:rsidR="0048006D" w:rsidRDefault="0048006D"/>
    <w:sectPr w:rsidR="0048006D" w:rsidSect="000F3E3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33"/>
    <w:rsid w:val="000A67D9"/>
    <w:rsid w:val="000F3E33"/>
    <w:rsid w:val="00283375"/>
    <w:rsid w:val="00371D01"/>
    <w:rsid w:val="0048006D"/>
    <w:rsid w:val="004C775D"/>
    <w:rsid w:val="00782CCF"/>
    <w:rsid w:val="008A14CA"/>
    <w:rsid w:val="009C37A8"/>
    <w:rsid w:val="00B53106"/>
    <w:rsid w:val="00B9456B"/>
    <w:rsid w:val="00D602C5"/>
    <w:rsid w:val="00DE18A5"/>
    <w:rsid w:val="00E023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31FCFE6"/>
  <w15:chartTrackingRefBased/>
  <w15:docId w15:val="{DEA6A229-3491-2840-B905-A5EF4A1B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33"/>
    <w:rPr>
      <w:rFonts w:ascii="Calibri" w:hAnsi="Calibri"/>
      <w:sz w:val="18"/>
      <w:szCs w:val="18"/>
      <w:lang w:val="en-US"/>
    </w:rPr>
  </w:style>
  <w:style w:type="paragraph" w:styleId="Heading1">
    <w:name w:val="heading 1"/>
    <w:basedOn w:val="Normal"/>
    <w:next w:val="Normal"/>
    <w:link w:val="Heading1Char"/>
    <w:uiPriority w:val="9"/>
    <w:qFormat/>
    <w:rsid w:val="000F3E33"/>
    <w:pPr>
      <w:jc w:val="center"/>
      <w:outlineLvl w:val="0"/>
    </w:pPr>
    <w:rPr>
      <w:rFonts w:asciiTheme="majorHAnsi" w:eastAsia="Times New Roman" w:hAnsiTheme="majorHAnsi" w:cs="Tahoma"/>
      <w:b/>
      <w:color w:val="FFFFFF" w:themeColor="background1"/>
      <w:sz w:val="28"/>
      <w:szCs w:val="28"/>
    </w:rPr>
  </w:style>
  <w:style w:type="paragraph" w:styleId="Heading2">
    <w:name w:val="heading 2"/>
    <w:basedOn w:val="Normal"/>
    <w:next w:val="Normal"/>
    <w:link w:val="Heading2Char"/>
    <w:uiPriority w:val="9"/>
    <w:unhideWhenUsed/>
    <w:qFormat/>
    <w:rsid w:val="000F3E33"/>
    <w:pPr>
      <w:jc w:val="center"/>
      <w:outlineLvl w:val="1"/>
    </w:pPr>
    <w:rPr>
      <w:rFonts w:asciiTheme="majorHAnsi" w:hAnsiTheme="majorHAnsi"/>
      <w:b/>
    </w:rPr>
  </w:style>
  <w:style w:type="paragraph" w:styleId="Heading3">
    <w:name w:val="heading 3"/>
    <w:basedOn w:val="Normal"/>
    <w:next w:val="Normal"/>
    <w:link w:val="Heading3Char"/>
    <w:uiPriority w:val="9"/>
    <w:unhideWhenUsed/>
    <w:qFormat/>
    <w:rsid w:val="000F3E33"/>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E33"/>
    <w:rPr>
      <w:rFonts w:asciiTheme="majorHAnsi" w:eastAsia="Times New Roman" w:hAnsiTheme="majorHAnsi" w:cs="Tahoma"/>
      <w:b/>
      <w:color w:val="FFFFFF" w:themeColor="background1"/>
      <w:sz w:val="28"/>
      <w:szCs w:val="28"/>
      <w:lang w:val="en-US"/>
    </w:rPr>
  </w:style>
  <w:style w:type="character" w:customStyle="1" w:styleId="Heading2Char">
    <w:name w:val="Heading 2 Char"/>
    <w:basedOn w:val="DefaultParagraphFont"/>
    <w:link w:val="Heading2"/>
    <w:uiPriority w:val="9"/>
    <w:rsid w:val="000F3E33"/>
    <w:rPr>
      <w:rFonts w:asciiTheme="majorHAnsi" w:hAnsiTheme="majorHAnsi"/>
      <w:b/>
      <w:sz w:val="18"/>
      <w:szCs w:val="18"/>
      <w:lang w:val="en-US"/>
    </w:rPr>
  </w:style>
  <w:style w:type="character" w:customStyle="1" w:styleId="Heading3Char">
    <w:name w:val="Heading 3 Char"/>
    <w:basedOn w:val="DefaultParagraphFont"/>
    <w:link w:val="Heading3"/>
    <w:uiPriority w:val="9"/>
    <w:rsid w:val="000F3E33"/>
    <w:rPr>
      <w:rFonts w:asciiTheme="majorHAnsi" w:hAnsiTheme="majorHAnsi"/>
      <w:b/>
      <w:sz w:val="18"/>
      <w:szCs w:val="18"/>
      <w:lang w:val="en-US"/>
    </w:rPr>
  </w:style>
  <w:style w:type="table" w:styleId="TableGrid">
    <w:name w:val="Table Grid"/>
    <w:basedOn w:val="TableNormal"/>
    <w:uiPriority w:val="59"/>
    <w:rsid w:val="000F3E33"/>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ward.brooklyn08@gmail.com</dc:creator>
  <cp:keywords/>
  <dc:description/>
  <cp:lastModifiedBy>ward.brooklyn08@gmail.com</cp:lastModifiedBy>
  <cp:revision>11</cp:revision>
  <dcterms:created xsi:type="dcterms:W3CDTF">2022-05-01T01:22:00Z</dcterms:created>
  <dcterms:modified xsi:type="dcterms:W3CDTF">2022-05-02T01:52:00Z</dcterms:modified>
</cp:coreProperties>
</file>