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955"/>
        <w:tblW w:w="15166" w:type="dxa"/>
        <w:tblLayout w:type="fixed"/>
        <w:tblLook w:val="04A0" w:firstRow="1" w:lastRow="0" w:firstColumn="1" w:lastColumn="0" w:noHBand="0" w:noVBand="1"/>
      </w:tblPr>
      <w:tblGrid>
        <w:gridCol w:w="236"/>
        <w:gridCol w:w="2133"/>
        <w:gridCol w:w="12560"/>
        <w:gridCol w:w="237"/>
      </w:tblGrid>
      <w:tr w:rsidR="00F44D7A" w:rsidRPr="001D5A88" w14:paraId="36F6EC03" w14:textId="77777777" w:rsidTr="00C0642D">
        <w:trPr>
          <w:trHeight w:val="305"/>
        </w:trPr>
        <w:tc>
          <w:tcPr>
            <w:tcW w:w="15166" w:type="dxa"/>
            <w:gridSpan w:val="4"/>
            <w:tcBorders>
              <w:top w:val="single" w:sz="4" w:space="0" w:color="auto"/>
              <w:left w:val="single" w:sz="4" w:space="0" w:color="auto"/>
              <w:bottom w:val="nil"/>
              <w:right w:val="single" w:sz="4" w:space="0" w:color="auto"/>
            </w:tcBorders>
            <w:shd w:val="clear" w:color="auto" w:fill="3B3838" w:themeFill="background2" w:themeFillShade="40"/>
            <w:vAlign w:val="center"/>
          </w:tcPr>
          <w:p w14:paraId="4647438A" w14:textId="111B82FD" w:rsidR="00F44D7A" w:rsidRPr="001D5A88" w:rsidRDefault="00F44D7A" w:rsidP="00051EAE">
            <w:pPr>
              <w:pStyle w:val="Heading1"/>
              <w:outlineLvl w:val="0"/>
              <w:rPr>
                <w:sz w:val="24"/>
                <w:szCs w:val="24"/>
                <w:lang w:val="en-CA"/>
              </w:rPr>
            </w:pPr>
            <w:r w:rsidRPr="00D82A9D">
              <w:rPr>
                <w:sz w:val="24"/>
                <w:szCs w:val="24"/>
              </w:rPr>
              <w:t>Generic &amp; Trade Name of Drug:</w:t>
            </w:r>
            <w:r w:rsidR="00C0642D">
              <w:rPr>
                <w:sz w:val="24"/>
                <w:szCs w:val="24"/>
              </w:rPr>
              <w:t xml:space="preserve"> Glycopyrrolate</w:t>
            </w:r>
            <w:r>
              <w:rPr>
                <w:sz w:val="24"/>
                <w:szCs w:val="24"/>
              </w:rPr>
              <w:t xml:space="preserve"> </w:t>
            </w:r>
            <w:r w:rsidR="00C0642D">
              <w:rPr>
                <w:sz w:val="24"/>
                <w:szCs w:val="24"/>
              </w:rPr>
              <w:t>(</w:t>
            </w:r>
            <w:proofErr w:type="spellStart"/>
            <w:r w:rsidR="00A94028">
              <w:rPr>
                <w:sz w:val="24"/>
                <w:szCs w:val="24"/>
              </w:rPr>
              <w:t>Robinul</w:t>
            </w:r>
            <w:proofErr w:type="spellEnd"/>
            <w:r w:rsidR="00C0642D">
              <w:rPr>
                <w:sz w:val="24"/>
                <w:szCs w:val="24"/>
              </w:rPr>
              <w:t>)</w:t>
            </w:r>
          </w:p>
        </w:tc>
      </w:tr>
      <w:tr w:rsidR="00F44D7A" w:rsidRPr="00E17A5C" w14:paraId="6CEA6C5A" w14:textId="77777777" w:rsidTr="00C0642D">
        <w:trPr>
          <w:trHeight w:val="289"/>
        </w:trPr>
        <w:tc>
          <w:tcPr>
            <w:tcW w:w="15166" w:type="dxa"/>
            <w:gridSpan w:val="4"/>
            <w:tcBorders>
              <w:top w:val="nil"/>
              <w:left w:val="single" w:sz="4" w:space="0" w:color="auto"/>
              <w:bottom w:val="nil"/>
              <w:right w:val="single" w:sz="4" w:space="0" w:color="auto"/>
            </w:tcBorders>
            <w:shd w:val="clear" w:color="auto" w:fill="D0CECE" w:themeFill="background2" w:themeFillShade="E6"/>
            <w:vAlign w:val="center"/>
          </w:tcPr>
          <w:p w14:paraId="39C8F1A0" w14:textId="63E03F36" w:rsidR="00F44D7A" w:rsidRPr="004A6119" w:rsidRDefault="00F44D7A" w:rsidP="00051EAE">
            <w:pPr>
              <w:pStyle w:val="Heading2"/>
              <w:outlineLvl w:val="1"/>
              <w:rPr>
                <w:rFonts w:ascii="Times New Roman" w:hAnsi="Times New Roman" w:cs="Times New Roman"/>
                <w:i/>
                <w:iCs/>
                <w:color w:val="000000" w:themeColor="text1"/>
              </w:rPr>
            </w:pPr>
            <w:proofErr w:type="spellStart"/>
            <w:r w:rsidRPr="004A6119">
              <w:rPr>
                <w:rFonts w:ascii="Times New Roman" w:hAnsi="Times New Roman" w:cs="Times New Roman"/>
                <w:i/>
                <w:iCs/>
                <w:color w:val="000000" w:themeColor="text1"/>
              </w:rPr>
              <w:t>Func</w:t>
            </w:r>
            <w:proofErr w:type="spellEnd"/>
            <w:r w:rsidRPr="004A6119">
              <w:rPr>
                <w:rFonts w:ascii="Times New Roman" w:hAnsi="Times New Roman" w:cs="Times New Roman"/>
                <w:i/>
                <w:iCs/>
                <w:color w:val="000000" w:themeColor="text1"/>
              </w:rPr>
              <w:t>. Class:</w:t>
            </w:r>
            <w:r w:rsidR="00C0642D" w:rsidRPr="004A6119">
              <w:rPr>
                <w:rFonts w:ascii="Times New Roman" w:hAnsi="Times New Roman" w:cs="Times New Roman"/>
                <w:i/>
                <w:iCs/>
                <w:color w:val="000000" w:themeColor="text1"/>
              </w:rPr>
              <w:t xml:space="preserve"> Anticholinergic </w:t>
            </w:r>
          </w:p>
        </w:tc>
      </w:tr>
      <w:tr w:rsidR="00F44D7A" w14:paraId="16B246CA" w14:textId="77777777" w:rsidTr="00C0642D">
        <w:trPr>
          <w:trHeight w:val="80"/>
        </w:trPr>
        <w:tc>
          <w:tcPr>
            <w:tcW w:w="229"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784BA1BE" w14:textId="77777777" w:rsidR="00F44D7A" w:rsidRDefault="00F44D7A" w:rsidP="00051EAE"/>
        </w:tc>
        <w:tc>
          <w:tcPr>
            <w:tcW w:w="2134"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0888E957" w14:textId="77777777" w:rsidR="00F44D7A" w:rsidRPr="00115E9A" w:rsidRDefault="00F44D7A" w:rsidP="00051EAE">
            <w:pPr>
              <w:pStyle w:val="Heading3"/>
              <w:jc w:val="center"/>
              <w:outlineLvl w:val="2"/>
              <w:rPr>
                <w:rFonts w:asciiTheme="minorHAnsi" w:hAnsiTheme="minorHAnsi" w:cstheme="minorHAnsi"/>
              </w:rPr>
            </w:pPr>
            <w:r w:rsidRPr="00115E9A">
              <w:rPr>
                <w:rFonts w:asciiTheme="minorHAnsi" w:hAnsiTheme="minorHAnsi" w:cstheme="minorHAnsi"/>
              </w:rPr>
              <w:t>Indications/ Therapeutic Effects:</w:t>
            </w:r>
          </w:p>
        </w:tc>
        <w:tc>
          <w:tcPr>
            <w:tcW w:w="12566"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67206D16" w14:textId="5E89DF97" w:rsidR="00F44D7A" w:rsidRPr="004A6119" w:rsidRDefault="005364C7" w:rsidP="005364C7">
            <w:pPr>
              <w:rPr>
                <w:rFonts w:ascii="Times New Roman" w:hAnsi="Times New Roman" w:cs="Times New Roman"/>
                <w:color w:val="000000" w:themeColor="text1"/>
                <w:lang w:val="en-CA"/>
              </w:rPr>
            </w:pPr>
            <w:r w:rsidRPr="004A6119">
              <w:rPr>
                <w:rFonts w:ascii="Times New Roman" w:hAnsi="Times New Roman" w:cs="Times New Roman"/>
                <w:color w:val="000000" w:themeColor="text1"/>
              </w:rPr>
              <w:t>Inhibits salivation and excessive respiratory secretions when given preoperatively. Reverses some of the secretory and vagal actions of cholinesterase inhibitors used to treat nondepolarizing neuromuscular blockade (cholinergic adjunct). Adjunctive management of peptic ulcer disease.</w:t>
            </w:r>
          </w:p>
        </w:tc>
        <w:tc>
          <w:tcPr>
            <w:tcW w:w="235" w:type="dxa"/>
            <w:tcBorders>
              <w:top w:val="nil"/>
              <w:left w:val="single" w:sz="18" w:space="0" w:color="A6A6A6" w:themeColor="background1" w:themeShade="A6"/>
              <w:bottom w:val="nil"/>
              <w:right w:val="single" w:sz="4" w:space="0" w:color="auto"/>
            </w:tcBorders>
            <w:shd w:val="clear" w:color="auto" w:fill="D0CECE" w:themeFill="background2" w:themeFillShade="E6"/>
          </w:tcPr>
          <w:p w14:paraId="6205E1BF" w14:textId="77777777" w:rsidR="00F44D7A" w:rsidRDefault="00F44D7A" w:rsidP="00051EAE"/>
        </w:tc>
      </w:tr>
      <w:tr w:rsidR="00F44D7A" w14:paraId="55DE8306" w14:textId="77777777" w:rsidTr="00C0642D">
        <w:trPr>
          <w:trHeight w:val="34"/>
        </w:trPr>
        <w:tc>
          <w:tcPr>
            <w:tcW w:w="229"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50526429" w14:textId="77777777" w:rsidR="00F44D7A" w:rsidRDefault="00F44D7A" w:rsidP="00051EAE"/>
        </w:tc>
        <w:tc>
          <w:tcPr>
            <w:tcW w:w="2134"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03D95C41" w14:textId="77777777" w:rsidR="00F44D7A" w:rsidRPr="00115E9A" w:rsidRDefault="00F44D7A" w:rsidP="00051EAE">
            <w:pPr>
              <w:pStyle w:val="Heading3"/>
              <w:jc w:val="center"/>
              <w:outlineLvl w:val="2"/>
              <w:rPr>
                <w:rFonts w:asciiTheme="minorHAnsi" w:hAnsiTheme="minorHAnsi" w:cstheme="minorHAnsi"/>
              </w:rPr>
            </w:pPr>
            <w:r w:rsidRPr="00115E9A">
              <w:rPr>
                <w:rFonts w:asciiTheme="minorHAnsi" w:hAnsiTheme="minorHAnsi" w:cstheme="minorHAnsi"/>
              </w:rPr>
              <w:t>Routes of Administration:</w:t>
            </w:r>
          </w:p>
        </w:tc>
        <w:tc>
          <w:tcPr>
            <w:tcW w:w="12566"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44B4D78B" w14:textId="2C9AD018" w:rsidR="00F44D7A" w:rsidRPr="004A6119" w:rsidRDefault="00103970" w:rsidP="00051EAE">
            <w:pPr>
              <w:rPr>
                <w:rFonts w:ascii="Times New Roman" w:hAnsi="Times New Roman" w:cs="Times New Roman"/>
                <w:color w:val="000000" w:themeColor="text1"/>
              </w:rPr>
            </w:pPr>
            <w:r w:rsidRPr="004A6119">
              <w:rPr>
                <w:rFonts w:ascii="Times New Roman" w:hAnsi="Times New Roman" w:cs="Times New Roman"/>
                <w:color w:val="000000" w:themeColor="text1"/>
              </w:rPr>
              <w:t>PO, IV, IM</w:t>
            </w:r>
          </w:p>
        </w:tc>
        <w:tc>
          <w:tcPr>
            <w:tcW w:w="235" w:type="dxa"/>
            <w:tcBorders>
              <w:top w:val="nil"/>
              <w:left w:val="single" w:sz="18" w:space="0" w:color="A6A6A6" w:themeColor="background1" w:themeShade="A6"/>
              <w:bottom w:val="nil"/>
              <w:right w:val="single" w:sz="4" w:space="0" w:color="auto"/>
            </w:tcBorders>
            <w:shd w:val="clear" w:color="auto" w:fill="D0CECE" w:themeFill="background2" w:themeFillShade="E6"/>
          </w:tcPr>
          <w:p w14:paraId="68BDD698" w14:textId="77777777" w:rsidR="00F44D7A" w:rsidRDefault="00F44D7A" w:rsidP="00051EAE"/>
        </w:tc>
      </w:tr>
      <w:tr w:rsidR="00F44D7A" w14:paraId="54F86D0F" w14:textId="77777777" w:rsidTr="00C0642D">
        <w:trPr>
          <w:trHeight w:val="428"/>
        </w:trPr>
        <w:tc>
          <w:tcPr>
            <w:tcW w:w="229"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5455560B" w14:textId="77777777" w:rsidR="00F44D7A" w:rsidRDefault="00F44D7A" w:rsidP="00051EAE"/>
        </w:tc>
        <w:tc>
          <w:tcPr>
            <w:tcW w:w="2134"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68D2CE2B" w14:textId="77777777" w:rsidR="00F44D7A" w:rsidRPr="00115E9A" w:rsidRDefault="00F44D7A" w:rsidP="00051EAE">
            <w:pPr>
              <w:pStyle w:val="Heading3"/>
              <w:jc w:val="center"/>
              <w:outlineLvl w:val="2"/>
              <w:rPr>
                <w:rFonts w:asciiTheme="minorHAnsi" w:hAnsiTheme="minorHAnsi" w:cstheme="minorHAnsi"/>
              </w:rPr>
            </w:pPr>
            <w:r w:rsidRPr="00115E9A">
              <w:rPr>
                <w:rFonts w:asciiTheme="minorHAnsi" w:hAnsiTheme="minorHAnsi" w:cstheme="minorHAnsi"/>
              </w:rPr>
              <w:t>Pharmacokinetics:</w:t>
            </w:r>
          </w:p>
        </w:tc>
        <w:tc>
          <w:tcPr>
            <w:tcW w:w="12566"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0BA6BB37" w14:textId="77777777" w:rsidR="004A6119" w:rsidRPr="004A6119" w:rsidRDefault="005364C7" w:rsidP="004A6119">
            <w:pPr>
              <w:rPr>
                <w:rFonts w:ascii="Times New Roman" w:hAnsi="Times New Roman" w:cs="Times New Roman"/>
              </w:rPr>
            </w:pPr>
            <w:r w:rsidRPr="004A6119">
              <w:rPr>
                <w:rStyle w:val="Strong"/>
                <w:rFonts w:ascii="Times New Roman" w:hAnsi="Times New Roman" w:cs="Times New Roman"/>
                <w:color w:val="000000" w:themeColor="text1"/>
              </w:rPr>
              <w:t>Absorption:</w:t>
            </w:r>
            <w:r w:rsidRPr="004A6119">
              <w:rPr>
                <w:rFonts w:ascii="Times New Roman" w:hAnsi="Times New Roman" w:cs="Times New Roman"/>
              </w:rPr>
              <w:t> Incompletely absorbed (10%) after oral administration. Well absorbed after IM administration.</w:t>
            </w:r>
            <w:bookmarkStart w:id="0" w:name="ciccdrugguide_ch07_para401"/>
            <w:bookmarkStart w:id="1" w:name="1134171311"/>
            <w:bookmarkEnd w:id="0"/>
            <w:bookmarkEnd w:id="1"/>
          </w:p>
          <w:p w14:paraId="1195F3DB" w14:textId="16B728D9" w:rsidR="005364C7" w:rsidRPr="004A6119" w:rsidRDefault="005364C7" w:rsidP="004A6119">
            <w:pPr>
              <w:rPr>
                <w:rFonts w:ascii="Times New Roman" w:hAnsi="Times New Roman" w:cs="Times New Roman"/>
              </w:rPr>
            </w:pPr>
            <w:r w:rsidRPr="004A6119">
              <w:rPr>
                <w:rStyle w:val="Strong"/>
                <w:rFonts w:ascii="Times New Roman" w:hAnsi="Times New Roman" w:cs="Times New Roman"/>
                <w:color w:val="000000" w:themeColor="text1"/>
              </w:rPr>
              <w:t>Distribution:</w:t>
            </w:r>
            <w:r w:rsidRPr="004A6119">
              <w:rPr>
                <w:rFonts w:ascii="Times New Roman" w:hAnsi="Times New Roman" w:cs="Times New Roman"/>
              </w:rPr>
              <w:t> Distribution not fully known. Does not significantly cross the blood-brain barrier or eye. Crosses the placenta.</w:t>
            </w:r>
          </w:p>
          <w:p w14:paraId="40B8D6AD" w14:textId="77777777" w:rsidR="005364C7" w:rsidRPr="004A6119" w:rsidRDefault="005364C7" w:rsidP="004A6119">
            <w:pPr>
              <w:rPr>
                <w:rFonts w:ascii="Times New Roman" w:hAnsi="Times New Roman" w:cs="Times New Roman"/>
              </w:rPr>
            </w:pPr>
            <w:bookmarkStart w:id="2" w:name="ciccdrugguide_ch07_para402"/>
            <w:bookmarkStart w:id="3" w:name="1134171312"/>
            <w:bookmarkEnd w:id="2"/>
            <w:bookmarkEnd w:id="3"/>
            <w:r w:rsidRPr="004A6119">
              <w:rPr>
                <w:rStyle w:val="Strong"/>
                <w:rFonts w:ascii="Times New Roman" w:hAnsi="Times New Roman" w:cs="Times New Roman"/>
                <w:color w:val="000000" w:themeColor="text1"/>
              </w:rPr>
              <w:t>Metabolism and Excretion:</w:t>
            </w:r>
            <w:r w:rsidRPr="004A6119">
              <w:rPr>
                <w:rFonts w:ascii="Times New Roman" w:hAnsi="Times New Roman" w:cs="Times New Roman"/>
              </w:rPr>
              <w:t> Eliminated primarily unchanged in the feces, via biliary excretion.</w:t>
            </w:r>
          </w:p>
          <w:p w14:paraId="7A3C3038" w14:textId="15D5DB0F" w:rsidR="00F44D7A" w:rsidRPr="004A6119" w:rsidRDefault="005364C7" w:rsidP="004A6119">
            <w:bookmarkStart w:id="4" w:name="ciccdrugguide_ch07_para403"/>
            <w:bookmarkStart w:id="5" w:name="1134171313"/>
            <w:bookmarkEnd w:id="4"/>
            <w:bookmarkEnd w:id="5"/>
            <w:r w:rsidRPr="004A6119">
              <w:rPr>
                <w:rStyle w:val="Strong"/>
                <w:rFonts w:ascii="Times New Roman" w:hAnsi="Times New Roman" w:cs="Times New Roman"/>
                <w:color w:val="000000" w:themeColor="text1"/>
              </w:rPr>
              <w:t>Half-life:</w:t>
            </w:r>
            <w:r w:rsidRPr="004A6119">
              <w:rPr>
                <w:rFonts w:ascii="Times New Roman" w:hAnsi="Times New Roman" w:cs="Times New Roman"/>
              </w:rPr>
              <w:t> 1.7 hr (0.6–4.6 hr).</w:t>
            </w:r>
            <w:bookmarkStart w:id="6" w:name="ciccdrugguide_ch07tb14"/>
            <w:bookmarkStart w:id="7" w:name="1134171314"/>
            <w:bookmarkEnd w:id="6"/>
            <w:bookmarkEnd w:id="7"/>
          </w:p>
        </w:tc>
        <w:tc>
          <w:tcPr>
            <w:tcW w:w="235" w:type="dxa"/>
            <w:tcBorders>
              <w:top w:val="nil"/>
              <w:left w:val="single" w:sz="18" w:space="0" w:color="A6A6A6" w:themeColor="background1" w:themeShade="A6"/>
              <w:bottom w:val="nil"/>
              <w:right w:val="single" w:sz="4" w:space="0" w:color="auto"/>
            </w:tcBorders>
            <w:shd w:val="clear" w:color="auto" w:fill="D0CECE" w:themeFill="background2" w:themeFillShade="E6"/>
          </w:tcPr>
          <w:p w14:paraId="7212C40F" w14:textId="77777777" w:rsidR="00F44D7A" w:rsidRDefault="00F44D7A" w:rsidP="00051EAE"/>
        </w:tc>
      </w:tr>
      <w:tr w:rsidR="00F44D7A" w14:paraId="22498237" w14:textId="77777777" w:rsidTr="00C0642D">
        <w:trPr>
          <w:trHeight w:val="428"/>
        </w:trPr>
        <w:tc>
          <w:tcPr>
            <w:tcW w:w="229"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597CAACB" w14:textId="77777777" w:rsidR="00F44D7A" w:rsidRDefault="00F44D7A" w:rsidP="00051EAE"/>
        </w:tc>
        <w:tc>
          <w:tcPr>
            <w:tcW w:w="2134"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1EB11F7D" w14:textId="77777777" w:rsidR="00F44D7A" w:rsidRPr="00115E9A" w:rsidRDefault="00F44D7A" w:rsidP="00051EAE">
            <w:pPr>
              <w:pStyle w:val="Heading3"/>
              <w:jc w:val="center"/>
              <w:outlineLvl w:val="2"/>
              <w:rPr>
                <w:rFonts w:asciiTheme="minorHAnsi" w:hAnsiTheme="minorHAnsi" w:cstheme="minorHAnsi"/>
              </w:rPr>
            </w:pPr>
            <w:r w:rsidRPr="00115E9A">
              <w:rPr>
                <w:rFonts w:asciiTheme="minorHAnsi" w:hAnsiTheme="minorHAnsi" w:cstheme="minorHAnsi"/>
              </w:rPr>
              <w:t>Nursing Implications/ Assessments:</w:t>
            </w:r>
          </w:p>
        </w:tc>
        <w:tc>
          <w:tcPr>
            <w:tcW w:w="12566"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105E9F1C" w14:textId="77777777" w:rsidR="004A6119" w:rsidRDefault="008D24EE" w:rsidP="004A6119">
            <w:pPr>
              <w:pStyle w:val="ListParagraph"/>
              <w:numPr>
                <w:ilvl w:val="0"/>
                <w:numId w:val="3"/>
              </w:numPr>
              <w:rPr>
                <w:rFonts w:ascii="Times New Roman" w:hAnsi="Times New Roman" w:cs="Times New Roman"/>
              </w:rPr>
            </w:pPr>
            <w:r w:rsidRPr="004A6119">
              <w:rPr>
                <w:rFonts w:ascii="Times New Roman" w:hAnsi="Times New Roman" w:cs="Times New Roman"/>
              </w:rPr>
              <w:t>Assess heart rate, ECG, and heart sounds, especially during exercise (See </w:t>
            </w:r>
            <w:hyperlink r:id="rId5" w:tgtFrame="_self" w:history="1">
              <w:r w:rsidRPr="004A6119">
                <w:rPr>
                  <w:rStyle w:val="Hyperlink"/>
                  <w:rFonts w:ascii="Times New Roman" w:hAnsi="Times New Roman" w:cs="Times New Roman"/>
                  <w:color w:val="000000" w:themeColor="text1"/>
                </w:rPr>
                <w:t>Appendices G</w:t>
              </w:r>
            </w:hyperlink>
            <w:r w:rsidRPr="004A6119">
              <w:rPr>
                <w:rFonts w:ascii="Times New Roman" w:hAnsi="Times New Roman" w:cs="Times New Roman"/>
              </w:rPr>
              <w:t>, </w:t>
            </w:r>
            <w:hyperlink r:id="rId6" w:tgtFrame="_self" w:history="1">
              <w:r w:rsidRPr="004A6119">
                <w:rPr>
                  <w:rStyle w:val="Hyperlink"/>
                  <w:rFonts w:ascii="Times New Roman" w:hAnsi="Times New Roman" w:cs="Times New Roman"/>
                  <w:color w:val="000000" w:themeColor="text1"/>
                </w:rPr>
                <w:t>H</w:t>
              </w:r>
            </w:hyperlink>
            <w:r w:rsidRPr="004A6119">
              <w:rPr>
                <w:rFonts w:ascii="Times New Roman" w:hAnsi="Times New Roman" w:cs="Times New Roman"/>
              </w:rPr>
              <w:t>). Report a rapid heart rate (tachycardia) or signs of other arrhythmias, including palpitations, chest discomfort, shortness of breath, fainting, and fatigue/weakness.</w:t>
            </w:r>
          </w:p>
          <w:p w14:paraId="290F8E42" w14:textId="77777777" w:rsidR="004A6119" w:rsidRDefault="008D24EE" w:rsidP="004A6119">
            <w:pPr>
              <w:pStyle w:val="ListParagraph"/>
              <w:numPr>
                <w:ilvl w:val="0"/>
                <w:numId w:val="3"/>
              </w:numPr>
              <w:rPr>
                <w:rFonts w:ascii="Times New Roman" w:hAnsi="Times New Roman" w:cs="Times New Roman"/>
              </w:rPr>
            </w:pPr>
            <w:r w:rsidRPr="004A6119">
              <w:rPr>
                <w:rFonts w:ascii="Times New Roman" w:hAnsi="Times New Roman" w:cs="Times New Roman"/>
              </w:rPr>
              <w:t>Assess blood pressure (BP) when patient assumes a more upright position (lying to standing, sitting to standing, lying to sitting). Document orthostatic hypotension and contact physician when systolic BP falls &gt;20 mm Hg or diastolic BP falls &gt;10 mm Hg.</w:t>
            </w:r>
          </w:p>
          <w:p w14:paraId="0C11CDEA" w14:textId="52A6DD2E" w:rsidR="00F44D7A" w:rsidRPr="004A6119" w:rsidRDefault="008D24EE" w:rsidP="004A6119">
            <w:pPr>
              <w:pStyle w:val="ListParagraph"/>
              <w:numPr>
                <w:ilvl w:val="0"/>
                <w:numId w:val="3"/>
              </w:numPr>
              <w:rPr>
                <w:rFonts w:ascii="Times New Roman" w:hAnsi="Times New Roman" w:cs="Times New Roman"/>
              </w:rPr>
            </w:pPr>
            <w:r w:rsidRPr="004A6119">
              <w:rPr>
                <w:rFonts w:ascii="Times New Roman" w:hAnsi="Times New Roman" w:cs="Times New Roman"/>
              </w:rPr>
              <w:t>If used to treat peptic ulcer, monitor any changes in symptoms (i.e., decreased abdominal pain, improved appetite) to help document whether drug therapy is successful.</w:t>
            </w:r>
          </w:p>
        </w:tc>
        <w:tc>
          <w:tcPr>
            <w:tcW w:w="235" w:type="dxa"/>
            <w:tcBorders>
              <w:top w:val="nil"/>
              <w:left w:val="single" w:sz="18" w:space="0" w:color="A6A6A6" w:themeColor="background1" w:themeShade="A6"/>
              <w:bottom w:val="nil"/>
              <w:right w:val="single" w:sz="4" w:space="0" w:color="auto"/>
            </w:tcBorders>
            <w:shd w:val="clear" w:color="auto" w:fill="D0CECE" w:themeFill="background2" w:themeFillShade="E6"/>
          </w:tcPr>
          <w:p w14:paraId="221532C5" w14:textId="77777777" w:rsidR="00F44D7A" w:rsidRDefault="00F44D7A" w:rsidP="00051EAE"/>
        </w:tc>
      </w:tr>
      <w:tr w:rsidR="00F44D7A" w14:paraId="461DE732" w14:textId="77777777" w:rsidTr="00C0642D">
        <w:trPr>
          <w:trHeight w:val="428"/>
        </w:trPr>
        <w:tc>
          <w:tcPr>
            <w:tcW w:w="229"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791538DD" w14:textId="77777777" w:rsidR="00F44D7A" w:rsidRDefault="00F44D7A" w:rsidP="00051EAE"/>
        </w:tc>
        <w:tc>
          <w:tcPr>
            <w:tcW w:w="2134"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3E338207" w14:textId="77777777" w:rsidR="00F44D7A" w:rsidRPr="00115E9A" w:rsidRDefault="00F44D7A" w:rsidP="00051EAE">
            <w:pPr>
              <w:jc w:val="center"/>
              <w:rPr>
                <w:rFonts w:asciiTheme="minorHAnsi" w:hAnsiTheme="minorHAnsi" w:cstheme="minorHAnsi"/>
                <w:b/>
                <w:bCs/>
              </w:rPr>
            </w:pPr>
            <w:r w:rsidRPr="00115E9A">
              <w:rPr>
                <w:rFonts w:asciiTheme="minorHAnsi" w:hAnsiTheme="minorHAnsi" w:cstheme="minorHAnsi"/>
                <w:b/>
                <w:bCs/>
              </w:rPr>
              <w:t>Side/ Adverse Effects:</w:t>
            </w:r>
          </w:p>
        </w:tc>
        <w:tc>
          <w:tcPr>
            <w:tcW w:w="12566"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2296F57C" w14:textId="14545C2F" w:rsidR="005364C7" w:rsidRPr="004A6119" w:rsidRDefault="005364C7" w:rsidP="005364C7">
            <w:pPr>
              <w:rPr>
                <w:rFonts w:ascii="Times New Roman" w:hAnsi="Times New Roman" w:cs="Times New Roman"/>
                <w:color w:val="000000" w:themeColor="text1"/>
              </w:rPr>
            </w:pPr>
            <w:r w:rsidRPr="004A6119">
              <w:rPr>
                <w:rStyle w:val="Strong"/>
                <w:rFonts w:ascii="Times New Roman" w:hAnsi="Times New Roman" w:cs="Times New Roman"/>
                <w:color w:val="000000" w:themeColor="text1"/>
              </w:rPr>
              <w:t>CNS:</w:t>
            </w:r>
            <w:r w:rsidRPr="004A6119">
              <w:rPr>
                <w:rFonts w:ascii="Times New Roman" w:hAnsi="Times New Roman" w:cs="Times New Roman"/>
                <w:color w:val="000000" w:themeColor="text1"/>
              </w:rPr>
              <w:t> confusion, drowsiness</w:t>
            </w:r>
          </w:p>
          <w:p w14:paraId="7FED81C2" w14:textId="77777777" w:rsidR="005364C7" w:rsidRPr="004A6119" w:rsidRDefault="005364C7" w:rsidP="005364C7">
            <w:pPr>
              <w:rPr>
                <w:rFonts w:ascii="Times New Roman" w:hAnsi="Times New Roman" w:cs="Times New Roman"/>
                <w:color w:val="000000" w:themeColor="text1"/>
              </w:rPr>
            </w:pPr>
            <w:r w:rsidRPr="004A6119">
              <w:rPr>
                <w:rStyle w:val="Strong"/>
                <w:rFonts w:ascii="Times New Roman" w:hAnsi="Times New Roman" w:cs="Times New Roman"/>
                <w:color w:val="000000" w:themeColor="text1"/>
              </w:rPr>
              <w:t>EENT:</w:t>
            </w:r>
            <w:r w:rsidRPr="004A6119">
              <w:rPr>
                <w:rFonts w:ascii="Times New Roman" w:hAnsi="Times New Roman" w:cs="Times New Roman"/>
                <w:color w:val="000000" w:themeColor="text1"/>
              </w:rPr>
              <w:t> blurred vision, cycloplegia, dry eyes, mydriasis</w:t>
            </w:r>
          </w:p>
          <w:p w14:paraId="07868145" w14:textId="77777777" w:rsidR="005364C7" w:rsidRPr="004A6119" w:rsidRDefault="005364C7" w:rsidP="005364C7">
            <w:pPr>
              <w:rPr>
                <w:rFonts w:ascii="Times New Roman" w:hAnsi="Times New Roman" w:cs="Times New Roman"/>
                <w:color w:val="000000" w:themeColor="text1"/>
              </w:rPr>
            </w:pPr>
            <w:r w:rsidRPr="004A6119">
              <w:rPr>
                <w:rStyle w:val="Strong"/>
                <w:rFonts w:ascii="Times New Roman" w:hAnsi="Times New Roman" w:cs="Times New Roman"/>
                <w:color w:val="000000" w:themeColor="text1"/>
              </w:rPr>
              <w:t>CV:</w:t>
            </w:r>
            <w:r w:rsidRPr="004A6119">
              <w:rPr>
                <w:rFonts w:ascii="Times New Roman" w:hAnsi="Times New Roman" w:cs="Times New Roman"/>
                <w:color w:val="000000" w:themeColor="text1"/>
              </w:rPr>
              <w:t> </w:t>
            </w:r>
            <w:r w:rsidRPr="004A6119">
              <w:rPr>
                <w:rFonts w:ascii="Times New Roman" w:hAnsi="Times New Roman" w:cs="Times New Roman"/>
                <w:color w:val="000000" w:themeColor="text1"/>
                <w:u w:val="single"/>
              </w:rPr>
              <w:t>tachycardia</w:t>
            </w:r>
            <w:r w:rsidRPr="004A6119">
              <w:rPr>
                <w:rFonts w:ascii="Times New Roman" w:hAnsi="Times New Roman" w:cs="Times New Roman"/>
                <w:color w:val="000000" w:themeColor="text1"/>
              </w:rPr>
              <w:t>, orthostatic hypotension, palpitations</w:t>
            </w:r>
          </w:p>
          <w:p w14:paraId="3D3E3E88" w14:textId="77777777" w:rsidR="005364C7" w:rsidRPr="004A6119" w:rsidRDefault="005364C7" w:rsidP="005364C7">
            <w:pPr>
              <w:rPr>
                <w:rFonts w:ascii="Times New Roman" w:hAnsi="Times New Roman" w:cs="Times New Roman"/>
                <w:color w:val="000000" w:themeColor="text1"/>
              </w:rPr>
            </w:pPr>
            <w:r w:rsidRPr="004A6119">
              <w:rPr>
                <w:rStyle w:val="Strong"/>
                <w:rFonts w:ascii="Times New Roman" w:hAnsi="Times New Roman" w:cs="Times New Roman"/>
                <w:color w:val="000000" w:themeColor="text1"/>
              </w:rPr>
              <w:t>GI:</w:t>
            </w:r>
            <w:r w:rsidRPr="004A6119">
              <w:rPr>
                <w:rFonts w:ascii="Times New Roman" w:hAnsi="Times New Roman" w:cs="Times New Roman"/>
                <w:color w:val="000000" w:themeColor="text1"/>
              </w:rPr>
              <w:t> </w:t>
            </w:r>
            <w:r w:rsidRPr="004A6119">
              <w:rPr>
                <w:rFonts w:ascii="Times New Roman" w:hAnsi="Times New Roman" w:cs="Times New Roman"/>
                <w:color w:val="000000" w:themeColor="text1"/>
                <w:u w:val="single"/>
              </w:rPr>
              <w:t>dry mouth</w:t>
            </w:r>
            <w:r w:rsidRPr="004A6119">
              <w:rPr>
                <w:rFonts w:ascii="Times New Roman" w:hAnsi="Times New Roman" w:cs="Times New Roman"/>
                <w:color w:val="000000" w:themeColor="text1"/>
              </w:rPr>
              <w:t>, constipation</w:t>
            </w:r>
          </w:p>
          <w:p w14:paraId="4CB52E48" w14:textId="17F1C153" w:rsidR="00F44D7A" w:rsidRPr="004A6119" w:rsidRDefault="005364C7" w:rsidP="005364C7">
            <w:pPr>
              <w:rPr>
                <w:rFonts w:ascii="Times New Roman" w:hAnsi="Times New Roman" w:cs="Times New Roman"/>
                <w:color w:val="000000" w:themeColor="text1"/>
                <w:lang w:val="en-CA"/>
              </w:rPr>
            </w:pPr>
            <w:r w:rsidRPr="004A6119">
              <w:rPr>
                <w:rStyle w:val="Strong"/>
                <w:rFonts w:ascii="Times New Roman" w:hAnsi="Times New Roman" w:cs="Times New Roman"/>
                <w:color w:val="000000" w:themeColor="text1"/>
              </w:rPr>
              <w:t>GU:</w:t>
            </w:r>
            <w:r w:rsidRPr="004A6119">
              <w:rPr>
                <w:rFonts w:ascii="Times New Roman" w:hAnsi="Times New Roman" w:cs="Times New Roman"/>
                <w:color w:val="000000" w:themeColor="text1"/>
              </w:rPr>
              <w:t> </w:t>
            </w:r>
            <w:r w:rsidRPr="004A6119">
              <w:rPr>
                <w:rFonts w:ascii="Times New Roman" w:hAnsi="Times New Roman" w:cs="Times New Roman"/>
                <w:color w:val="000000" w:themeColor="text1"/>
                <w:u w:val="single"/>
              </w:rPr>
              <w:t>urinary hesitancy</w:t>
            </w:r>
            <w:r w:rsidRPr="004A6119">
              <w:rPr>
                <w:rFonts w:ascii="Times New Roman" w:hAnsi="Times New Roman" w:cs="Times New Roman"/>
                <w:color w:val="000000" w:themeColor="text1"/>
              </w:rPr>
              <w:t>, retention.</w:t>
            </w:r>
          </w:p>
        </w:tc>
        <w:tc>
          <w:tcPr>
            <w:tcW w:w="235" w:type="dxa"/>
            <w:tcBorders>
              <w:top w:val="nil"/>
              <w:left w:val="single" w:sz="18" w:space="0" w:color="A6A6A6" w:themeColor="background1" w:themeShade="A6"/>
              <w:bottom w:val="nil"/>
              <w:right w:val="single" w:sz="4" w:space="0" w:color="auto"/>
            </w:tcBorders>
            <w:shd w:val="clear" w:color="auto" w:fill="D0CECE" w:themeFill="background2" w:themeFillShade="E6"/>
          </w:tcPr>
          <w:p w14:paraId="5DBD66CE" w14:textId="77777777" w:rsidR="00F44D7A" w:rsidRDefault="00F44D7A" w:rsidP="00051EAE"/>
        </w:tc>
      </w:tr>
      <w:tr w:rsidR="00F44D7A" w14:paraId="58CD1C60" w14:textId="77777777" w:rsidTr="00C0642D">
        <w:trPr>
          <w:trHeight w:val="428"/>
        </w:trPr>
        <w:tc>
          <w:tcPr>
            <w:tcW w:w="229"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043B3465" w14:textId="77777777" w:rsidR="00F44D7A" w:rsidRDefault="00F44D7A" w:rsidP="00051EAE"/>
        </w:tc>
        <w:tc>
          <w:tcPr>
            <w:tcW w:w="2134"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6E55C840" w14:textId="77777777" w:rsidR="00F44D7A" w:rsidRPr="00115E9A" w:rsidRDefault="00F44D7A" w:rsidP="00051EAE">
            <w:pPr>
              <w:pStyle w:val="Heading3"/>
              <w:jc w:val="center"/>
              <w:outlineLvl w:val="2"/>
              <w:rPr>
                <w:rFonts w:asciiTheme="minorHAnsi" w:hAnsiTheme="minorHAnsi" w:cstheme="minorHAnsi"/>
              </w:rPr>
            </w:pPr>
            <w:r w:rsidRPr="00115E9A">
              <w:rPr>
                <w:rFonts w:asciiTheme="minorHAnsi" w:hAnsiTheme="minorHAnsi" w:cstheme="minorHAnsi"/>
              </w:rPr>
              <w:t>Contraindications:</w:t>
            </w:r>
          </w:p>
        </w:tc>
        <w:tc>
          <w:tcPr>
            <w:tcW w:w="12566"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6BF03CFA" w14:textId="36C0A498" w:rsidR="00F44D7A" w:rsidRPr="004A6119" w:rsidRDefault="004A6119" w:rsidP="004A6119">
            <w:pPr>
              <w:pStyle w:val="ListParagraph"/>
              <w:numPr>
                <w:ilvl w:val="0"/>
                <w:numId w:val="4"/>
              </w:numPr>
              <w:rPr>
                <w:rFonts w:ascii="Times New Roman" w:hAnsi="Times New Roman" w:cs="Times New Roman"/>
                <w:color w:val="000000" w:themeColor="text1"/>
                <w:lang w:val="en-CA"/>
              </w:rPr>
            </w:pPr>
            <w:r w:rsidRPr="004A6119">
              <w:rPr>
                <w:rFonts w:ascii="Times New Roman" w:hAnsi="Times New Roman" w:cs="Times New Roman"/>
                <w:color w:val="000000" w:themeColor="text1"/>
              </w:rPr>
              <w:t>P</w:t>
            </w:r>
            <w:r w:rsidR="008D24EE" w:rsidRPr="004A6119">
              <w:rPr>
                <w:rFonts w:ascii="Times New Roman" w:hAnsi="Times New Roman" w:cs="Times New Roman"/>
                <w:color w:val="000000" w:themeColor="text1"/>
              </w:rPr>
              <w:t>atients with glaucoma, trouble urinating (</w:t>
            </w:r>
            <w:proofErr w:type="spellStart"/>
            <w:r w:rsidR="008D24EE" w:rsidRPr="004A6119">
              <w:rPr>
                <w:rFonts w:ascii="Times New Roman" w:hAnsi="Times New Roman" w:cs="Times New Roman"/>
                <w:color w:val="000000" w:themeColor="text1"/>
              </w:rPr>
              <w:t>eg</w:t>
            </w:r>
            <w:proofErr w:type="spellEnd"/>
            <w:r w:rsidR="008D24EE" w:rsidRPr="004A6119">
              <w:rPr>
                <w:rFonts w:ascii="Times New Roman" w:hAnsi="Times New Roman" w:cs="Times New Roman"/>
                <w:color w:val="000000" w:themeColor="text1"/>
              </w:rPr>
              <w:t>, bladder neck obstruction), certain stomach or bowel problems (</w:t>
            </w:r>
            <w:proofErr w:type="spellStart"/>
            <w:r w:rsidR="008D24EE" w:rsidRPr="004A6119">
              <w:rPr>
                <w:rFonts w:ascii="Times New Roman" w:hAnsi="Times New Roman" w:cs="Times New Roman"/>
                <w:color w:val="000000" w:themeColor="text1"/>
              </w:rPr>
              <w:t>eg</w:t>
            </w:r>
            <w:proofErr w:type="spellEnd"/>
            <w:r w:rsidR="008D24EE" w:rsidRPr="004A6119">
              <w:rPr>
                <w:rFonts w:ascii="Times New Roman" w:hAnsi="Times New Roman" w:cs="Times New Roman"/>
                <w:color w:val="000000" w:themeColor="text1"/>
              </w:rPr>
              <w:t>, stomach or bowel blockage, bowel muscle problems, severe ulcerative colitis, toxic megacolon), certain esophagus problems (</w:t>
            </w:r>
            <w:proofErr w:type="spellStart"/>
            <w:r w:rsidR="008D24EE" w:rsidRPr="004A6119">
              <w:rPr>
                <w:rFonts w:ascii="Times New Roman" w:hAnsi="Times New Roman" w:cs="Times New Roman"/>
                <w:color w:val="000000" w:themeColor="text1"/>
              </w:rPr>
              <w:t>eg</w:t>
            </w:r>
            <w:proofErr w:type="spellEnd"/>
            <w:r w:rsidR="008D24EE" w:rsidRPr="004A6119">
              <w:rPr>
                <w:rFonts w:ascii="Times New Roman" w:hAnsi="Times New Roman" w:cs="Times New Roman"/>
                <w:color w:val="000000" w:themeColor="text1"/>
              </w:rPr>
              <w:t>, achalasia, reflux), or myasthenia gravis, and hypersensitivity.</w:t>
            </w:r>
          </w:p>
        </w:tc>
        <w:tc>
          <w:tcPr>
            <w:tcW w:w="235" w:type="dxa"/>
            <w:tcBorders>
              <w:top w:val="nil"/>
              <w:left w:val="single" w:sz="18" w:space="0" w:color="A6A6A6" w:themeColor="background1" w:themeShade="A6"/>
              <w:bottom w:val="nil"/>
              <w:right w:val="single" w:sz="4" w:space="0" w:color="auto"/>
            </w:tcBorders>
            <w:shd w:val="clear" w:color="auto" w:fill="D0CECE" w:themeFill="background2" w:themeFillShade="E6"/>
          </w:tcPr>
          <w:p w14:paraId="7A603B3A" w14:textId="77777777" w:rsidR="00F44D7A" w:rsidRDefault="00F44D7A" w:rsidP="00051EAE"/>
        </w:tc>
      </w:tr>
      <w:tr w:rsidR="00F44D7A" w14:paraId="3E657E0B" w14:textId="77777777" w:rsidTr="004A6119">
        <w:trPr>
          <w:trHeight w:val="438"/>
        </w:trPr>
        <w:tc>
          <w:tcPr>
            <w:tcW w:w="229"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4FC675E7" w14:textId="77777777" w:rsidR="00F44D7A" w:rsidRDefault="00F44D7A" w:rsidP="00051EAE"/>
        </w:tc>
        <w:tc>
          <w:tcPr>
            <w:tcW w:w="2134"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0BA5EF65" w14:textId="77777777" w:rsidR="00F44D7A" w:rsidRPr="00115E9A" w:rsidRDefault="00F44D7A" w:rsidP="00051EAE">
            <w:pPr>
              <w:pStyle w:val="Heading3"/>
              <w:jc w:val="center"/>
              <w:outlineLvl w:val="2"/>
              <w:rPr>
                <w:rFonts w:asciiTheme="minorHAnsi" w:hAnsiTheme="minorHAnsi" w:cstheme="minorHAnsi"/>
              </w:rPr>
            </w:pPr>
            <w:r w:rsidRPr="00115E9A">
              <w:rPr>
                <w:rFonts w:asciiTheme="minorHAnsi" w:hAnsiTheme="minorHAnsi" w:cstheme="minorHAnsi"/>
              </w:rPr>
              <w:t>Client Teaching:</w:t>
            </w:r>
          </w:p>
        </w:tc>
        <w:tc>
          <w:tcPr>
            <w:tcW w:w="12566"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77DDAC50" w14:textId="35265B0E" w:rsidR="00F44D7A" w:rsidRPr="004A6119" w:rsidRDefault="008D24EE" w:rsidP="004A6119">
            <w:pPr>
              <w:pStyle w:val="para"/>
              <w:numPr>
                <w:ilvl w:val="0"/>
                <w:numId w:val="4"/>
              </w:numPr>
              <w:spacing w:before="0" w:beforeAutospacing="0"/>
              <w:rPr>
                <w:color w:val="000000" w:themeColor="text1"/>
                <w:sz w:val="18"/>
                <w:szCs w:val="18"/>
              </w:rPr>
            </w:pPr>
            <w:r w:rsidRPr="004A6119">
              <w:rPr>
                <w:color w:val="000000" w:themeColor="text1"/>
                <w:sz w:val="18"/>
                <w:szCs w:val="18"/>
              </w:rPr>
              <w:t xml:space="preserve">Instruct patient </w:t>
            </w:r>
            <w:r w:rsidRPr="004A6119">
              <w:rPr>
                <w:sz w:val="18"/>
                <w:szCs w:val="18"/>
              </w:rPr>
              <w:t>and family/caregivers to report other troublesome side effects such as severe or prolonged drowsiness, confusion, vision problems, problems with urination, or GI problems (constipation, dry mouth</w:t>
            </w:r>
            <w:bookmarkStart w:id="8" w:name="ciccdrugguide_ch07_sec179"/>
            <w:bookmarkStart w:id="9" w:name="139013160"/>
            <w:bookmarkStart w:id="10" w:name="1134171297"/>
            <w:bookmarkEnd w:id="8"/>
            <w:bookmarkEnd w:id="9"/>
            <w:bookmarkEnd w:id="10"/>
            <w:r w:rsidRPr="004A6119">
              <w:rPr>
                <w:sz w:val="18"/>
                <w:szCs w:val="18"/>
              </w:rPr>
              <w:t>)</w:t>
            </w:r>
          </w:p>
        </w:tc>
        <w:tc>
          <w:tcPr>
            <w:tcW w:w="235" w:type="dxa"/>
            <w:tcBorders>
              <w:top w:val="nil"/>
              <w:left w:val="single" w:sz="18" w:space="0" w:color="A6A6A6" w:themeColor="background1" w:themeShade="A6"/>
              <w:bottom w:val="nil"/>
              <w:right w:val="single" w:sz="4" w:space="0" w:color="auto"/>
            </w:tcBorders>
            <w:shd w:val="clear" w:color="auto" w:fill="D0CECE" w:themeFill="background2" w:themeFillShade="E6"/>
          </w:tcPr>
          <w:p w14:paraId="0E2862DD" w14:textId="77777777" w:rsidR="00F44D7A" w:rsidRDefault="00F44D7A" w:rsidP="00051EAE"/>
        </w:tc>
      </w:tr>
      <w:tr w:rsidR="00F44D7A" w14:paraId="5F65B1B4" w14:textId="77777777" w:rsidTr="00C0642D">
        <w:trPr>
          <w:trHeight w:val="428"/>
        </w:trPr>
        <w:tc>
          <w:tcPr>
            <w:tcW w:w="229" w:type="dxa"/>
            <w:tcBorders>
              <w:top w:val="nil"/>
              <w:left w:val="single" w:sz="4" w:space="0" w:color="auto"/>
              <w:bottom w:val="nil"/>
              <w:right w:val="single" w:sz="18" w:space="0" w:color="A6A6A6" w:themeColor="background1" w:themeShade="A6"/>
            </w:tcBorders>
            <w:shd w:val="clear" w:color="auto" w:fill="D0CECE" w:themeFill="background2" w:themeFillShade="E6"/>
          </w:tcPr>
          <w:p w14:paraId="56A149F5" w14:textId="77777777" w:rsidR="00F44D7A" w:rsidRDefault="00F44D7A" w:rsidP="00051EAE"/>
        </w:tc>
        <w:tc>
          <w:tcPr>
            <w:tcW w:w="2134"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049F0D4E" w14:textId="77777777" w:rsidR="00F44D7A" w:rsidRPr="00115E9A" w:rsidRDefault="00F44D7A" w:rsidP="00051EAE">
            <w:pPr>
              <w:pStyle w:val="Heading3"/>
              <w:jc w:val="center"/>
              <w:outlineLvl w:val="2"/>
              <w:rPr>
                <w:rFonts w:asciiTheme="minorHAnsi" w:hAnsiTheme="minorHAnsi" w:cstheme="minorHAnsi"/>
              </w:rPr>
            </w:pPr>
            <w:r>
              <w:rPr>
                <w:rFonts w:asciiTheme="minorHAnsi" w:hAnsiTheme="minorHAnsi" w:cstheme="minorHAnsi"/>
              </w:rPr>
              <w:t>OTHER</w:t>
            </w:r>
          </w:p>
        </w:tc>
        <w:tc>
          <w:tcPr>
            <w:tcW w:w="12566"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vAlign w:val="center"/>
          </w:tcPr>
          <w:p w14:paraId="64CE1FE2" w14:textId="77777777" w:rsidR="00F44D7A" w:rsidRPr="004A6119" w:rsidRDefault="00F44D7A" w:rsidP="00051EAE">
            <w:pPr>
              <w:rPr>
                <w:rFonts w:ascii="Times New Roman" w:hAnsi="Times New Roman" w:cs="Times New Roman"/>
                <w:color w:val="000000" w:themeColor="text1"/>
              </w:rPr>
            </w:pPr>
          </w:p>
        </w:tc>
        <w:tc>
          <w:tcPr>
            <w:tcW w:w="235" w:type="dxa"/>
            <w:tcBorders>
              <w:top w:val="nil"/>
              <w:left w:val="single" w:sz="18" w:space="0" w:color="A6A6A6" w:themeColor="background1" w:themeShade="A6"/>
              <w:bottom w:val="nil"/>
              <w:right w:val="single" w:sz="4" w:space="0" w:color="auto"/>
            </w:tcBorders>
            <w:shd w:val="clear" w:color="auto" w:fill="D0CECE" w:themeFill="background2" w:themeFillShade="E6"/>
          </w:tcPr>
          <w:p w14:paraId="52AA03EE" w14:textId="77777777" w:rsidR="00F44D7A" w:rsidRDefault="00F44D7A" w:rsidP="00051EAE"/>
        </w:tc>
      </w:tr>
      <w:tr w:rsidR="00F44D7A" w:rsidRPr="004109DF" w14:paraId="6BF402A3" w14:textId="77777777" w:rsidTr="00C0642D">
        <w:trPr>
          <w:trHeight w:val="34"/>
        </w:trPr>
        <w:tc>
          <w:tcPr>
            <w:tcW w:w="15166" w:type="dxa"/>
            <w:gridSpan w:val="4"/>
            <w:tcBorders>
              <w:top w:val="nil"/>
              <w:left w:val="single" w:sz="4" w:space="0" w:color="auto"/>
              <w:bottom w:val="single" w:sz="4" w:space="0" w:color="auto"/>
              <w:right w:val="single" w:sz="4" w:space="0" w:color="auto"/>
            </w:tcBorders>
            <w:shd w:val="clear" w:color="auto" w:fill="D0CECE" w:themeFill="background2" w:themeFillShade="E6"/>
            <w:vAlign w:val="center"/>
          </w:tcPr>
          <w:p w14:paraId="5B5F23FA" w14:textId="77777777" w:rsidR="00F44D7A" w:rsidRPr="004A6119" w:rsidRDefault="00F44D7A" w:rsidP="00051EAE">
            <w:pPr>
              <w:rPr>
                <w:rFonts w:ascii="Times New Roman" w:hAnsi="Times New Roman" w:cs="Times New Roman"/>
                <w:color w:val="000000" w:themeColor="text1"/>
              </w:rPr>
            </w:pPr>
          </w:p>
        </w:tc>
      </w:tr>
    </w:tbl>
    <w:p w14:paraId="790FDFCA" w14:textId="77777777" w:rsidR="0048006D" w:rsidRDefault="0048006D"/>
    <w:sectPr w:rsidR="0048006D" w:rsidSect="00F44D7A">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6FDD"/>
    <w:multiLevelType w:val="multilevel"/>
    <w:tmpl w:val="74A677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D5468"/>
    <w:multiLevelType w:val="multilevel"/>
    <w:tmpl w:val="B1CEA9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454F7"/>
    <w:multiLevelType w:val="hybridMultilevel"/>
    <w:tmpl w:val="7E6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31E6C"/>
    <w:multiLevelType w:val="hybridMultilevel"/>
    <w:tmpl w:val="8178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893295">
    <w:abstractNumId w:val="1"/>
  </w:num>
  <w:num w:numId="2" w16cid:durableId="1137917017">
    <w:abstractNumId w:val="0"/>
  </w:num>
  <w:num w:numId="3" w16cid:durableId="509180420">
    <w:abstractNumId w:val="2"/>
  </w:num>
  <w:num w:numId="4" w16cid:durableId="1695888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7A"/>
    <w:rsid w:val="00103970"/>
    <w:rsid w:val="00376604"/>
    <w:rsid w:val="0048006D"/>
    <w:rsid w:val="004A6119"/>
    <w:rsid w:val="005364C7"/>
    <w:rsid w:val="008D24EE"/>
    <w:rsid w:val="008F2F7B"/>
    <w:rsid w:val="00A94028"/>
    <w:rsid w:val="00AC5328"/>
    <w:rsid w:val="00C0642D"/>
    <w:rsid w:val="00DE18A5"/>
    <w:rsid w:val="00F44D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BA87A73"/>
  <w15:chartTrackingRefBased/>
  <w15:docId w15:val="{4C8BA417-B6AF-7841-BFC2-D32C6A90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D7A"/>
    <w:rPr>
      <w:rFonts w:ascii="Calibri" w:hAnsi="Calibri"/>
      <w:sz w:val="18"/>
      <w:szCs w:val="18"/>
      <w:lang w:val="en-US"/>
    </w:rPr>
  </w:style>
  <w:style w:type="paragraph" w:styleId="Heading1">
    <w:name w:val="heading 1"/>
    <w:basedOn w:val="Normal"/>
    <w:next w:val="Normal"/>
    <w:link w:val="Heading1Char"/>
    <w:uiPriority w:val="9"/>
    <w:qFormat/>
    <w:rsid w:val="00F44D7A"/>
    <w:pPr>
      <w:jc w:val="center"/>
      <w:outlineLvl w:val="0"/>
    </w:pPr>
    <w:rPr>
      <w:rFonts w:asciiTheme="majorHAnsi" w:eastAsia="Times New Roman" w:hAnsiTheme="majorHAnsi" w:cs="Tahoma"/>
      <w:b/>
      <w:color w:val="FFFFFF" w:themeColor="background1"/>
      <w:sz w:val="28"/>
      <w:szCs w:val="28"/>
    </w:rPr>
  </w:style>
  <w:style w:type="paragraph" w:styleId="Heading2">
    <w:name w:val="heading 2"/>
    <w:basedOn w:val="Normal"/>
    <w:next w:val="Normal"/>
    <w:link w:val="Heading2Char"/>
    <w:uiPriority w:val="9"/>
    <w:unhideWhenUsed/>
    <w:qFormat/>
    <w:rsid w:val="00F44D7A"/>
    <w:pPr>
      <w:jc w:val="center"/>
      <w:outlineLvl w:val="1"/>
    </w:pPr>
    <w:rPr>
      <w:rFonts w:asciiTheme="majorHAnsi" w:hAnsiTheme="majorHAnsi"/>
      <w:b/>
    </w:rPr>
  </w:style>
  <w:style w:type="paragraph" w:styleId="Heading3">
    <w:name w:val="heading 3"/>
    <w:basedOn w:val="Normal"/>
    <w:next w:val="Normal"/>
    <w:link w:val="Heading3Char"/>
    <w:uiPriority w:val="9"/>
    <w:unhideWhenUsed/>
    <w:qFormat/>
    <w:rsid w:val="00F44D7A"/>
    <w:pPr>
      <w:outlineLvl w:val="2"/>
    </w:pPr>
    <w:rPr>
      <w:rFonts w:asciiTheme="majorHAnsi" w:hAnsiTheme="majorHAns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D7A"/>
    <w:rPr>
      <w:rFonts w:asciiTheme="majorHAnsi" w:eastAsia="Times New Roman" w:hAnsiTheme="majorHAnsi" w:cs="Tahoma"/>
      <w:b/>
      <w:color w:val="FFFFFF" w:themeColor="background1"/>
      <w:sz w:val="28"/>
      <w:szCs w:val="28"/>
      <w:lang w:val="en-US"/>
    </w:rPr>
  </w:style>
  <w:style w:type="character" w:customStyle="1" w:styleId="Heading2Char">
    <w:name w:val="Heading 2 Char"/>
    <w:basedOn w:val="DefaultParagraphFont"/>
    <w:link w:val="Heading2"/>
    <w:uiPriority w:val="9"/>
    <w:rsid w:val="00F44D7A"/>
    <w:rPr>
      <w:rFonts w:asciiTheme="majorHAnsi" w:hAnsiTheme="majorHAnsi"/>
      <w:b/>
      <w:sz w:val="18"/>
      <w:szCs w:val="18"/>
      <w:lang w:val="en-US"/>
    </w:rPr>
  </w:style>
  <w:style w:type="character" w:customStyle="1" w:styleId="Heading3Char">
    <w:name w:val="Heading 3 Char"/>
    <w:basedOn w:val="DefaultParagraphFont"/>
    <w:link w:val="Heading3"/>
    <w:uiPriority w:val="9"/>
    <w:rsid w:val="00F44D7A"/>
    <w:rPr>
      <w:rFonts w:asciiTheme="majorHAnsi" w:hAnsiTheme="majorHAnsi"/>
      <w:b/>
      <w:sz w:val="18"/>
      <w:szCs w:val="18"/>
      <w:lang w:val="en-US"/>
    </w:rPr>
  </w:style>
  <w:style w:type="table" w:styleId="TableGrid">
    <w:name w:val="Table Grid"/>
    <w:basedOn w:val="TableNormal"/>
    <w:uiPriority w:val="59"/>
    <w:rsid w:val="00F44D7A"/>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364C7"/>
    <w:rPr>
      <w:b/>
      <w:bCs/>
    </w:rPr>
  </w:style>
  <w:style w:type="paragraph" w:customStyle="1" w:styleId="para">
    <w:name w:val="para"/>
    <w:basedOn w:val="Normal"/>
    <w:rsid w:val="005364C7"/>
    <w:pPr>
      <w:spacing w:before="100" w:beforeAutospacing="1" w:after="100" w:afterAutospacing="1"/>
    </w:pPr>
    <w:rPr>
      <w:rFonts w:ascii="Times New Roman" w:eastAsia="Times New Roman" w:hAnsi="Times New Roman" w:cs="Times New Roman"/>
      <w:sz w:val="24"/>
      <w:szCs w:val="24"/>
      <w:lang w:val="en-CA"/>
    </w:rPr>
  </w:style>
  <w:style w:type="character" w:styleId="Hyperlink">
    <w:name w:val="Hyperlink"/>
    <w:basedOn w:val="DefaultParagraphFont"/>
    <w:uiPriority w:val="99"/>
    <w:semiHidden/>
    <w:unhideWhenUsed/>
    <w:rsid w:val="008D24EE"/>
    <w:rPr>
      <w:color w:val="0000FF"/>
      <w:u w:val="single"/>
    </w:rPr>
  </w:style>
  <w:style w:type="paragraph" w:styleId="ListParagraph">
    <w:name w:val="List Paragraph"/>
    <w:basedOn w:val="Normal"/>
    <w:uiPriority w:val="34"/>
    <w:qFormat/>
    <w:rsid w:val="004A6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3537">
      <w:bodyDiv w:val="1"/>
      <w:marLeft w:val="0"/>
      <w:marRight w:val="0"/>
      <w:marTop w:val="0"/>
      <w:marBottom w:val="0"/>
      <w:divBdr>
        <w:top w:val="none" w:sz="0" w:space="0" w:color="auto"/>
        <w:left w:val="none" w:sz="0" w:space="0" w:color="auto"/>
        <w:bottom w:val="none" w:sz="0" w:space="0" w:color="auto"/>
        <w:right w:val="none" w:sz="0" w:space="0" w:color="auto"/>
      </w:divBdr>
    </w:div>
    <w:div w:id="1191533406">
      <w:bodyDiv w:val="1"/>
      <w:marLeft w:val="0"/>
      <w:marRight w:val="0"/>
      <w:marTop w:val="0"/>
      <w:marBottom w:val="0"/>
      <w:divBdr>
        <w:top w:val="none" w:sz="0" w:space="0" w:color="auto"/>
        <w:left w:val="none" w:sz="0" w:space="0" w:color="auto"/>
        <w:bottom w:val="none" w:sz="0" w:space="0" w:color="auto"/>
        <w:right w:val="none" w:sz="0" w:space="0" w:color="auto"/>
      </w:divBdr>
    </w:div>
    <w:div w:id="1227451751">
      <w:bodyDiv w:val="1"/>
      <w:marLeft w:val="0"/>
      <w:marRight w:val="0"/>
      <w:marTop w:val="0"/>
      <w:marBottom w:val="0"/>
      <w:divBdr>
        <w:top w:val="none" w:sz="0" w:space="0" w:color="auto"/>
        <w:left w:val="none" w:sz="0" w:space="0" w:color="auto"/>
        <w:bottom w:val="none" w:sz="0" w:space="0" w:color="auto"/>
        <w:right w:val="none" w:sz="0" w:space="0" w:color="auto"/>
      </w:divBdr>
    </w:div>
    <w:div w:id="1432582595">
      <w:bodyDiv w:val="1"/>
      <w:marLeft w:val="0"/>
      <w:marRight w:val="0"/>
      <w:marTop w:val="0"/>
      <w:marBottom w:val="0"/>
      <w:divBdr>
        <w:top w:val="none" w:sz="0" w:space="0" w:color="auto"/>
        <w:left w:val="none" w:sz="0" w:space="0" w:color="auto"/>
        <w:bottom w:val="none" w:sz="0" w:space="0" w:color="auto"/>
        <w:right w:val="none" w:sz="0" w:space="0" w:color="auto"/>
      </w:divBdr>
      <w:divsChild>
        <w:div w:id="1217816779">
          <w:marLeft w:val="0"/>
          <w:marRight w:val="0"/>
          <w:marTop w:val="0"/>
          <w:marBottom w:val="0"/>
          <w:divBdr>
            <w:top w:val="none" w:sz="0" w:space="0" w:color="auto"/>
            <w:left w:val="none" w:sz="0" w:space="0" w:color="auto"/>
            <w:bottom w:val="none" w:sz="0" w:space="0" w:color="auto"/>
            <w:right w:val="none" w:sz="0" w:space="0" w:color="auto"/>
          </w:divBdr>
        </w:div>
        <w:div w:id="1837455235">
          <w:marLeft w:val="0"/>
          <w:marRight w:val="0"/>
          <w:marTop w:val="0"/>
          <w:marBottom w:val="0"/>
          <w:divBdr>
            <w:top w:val="none" w:sz="0" w:space="0" w:color="auto"/>
            <w:left w:val="none" w:sz="0" w:space="0" w:color="auto"/>
            <w:bottom w:val="none" w:sz="0" w:space="0" w:color="auto"/>
            <w:right w:val="none" w:sz="0" w:space="0" w:color="auto"/>
          </w:divBdr>
        </w:div>
        <w:div w:id="1321497988">
          <w:marLeft w:val="0"/>
          <w:marRight w:val="0"/>
          <w:marTop w:val="0"/>
          <w:marBottom w:val="0"/>
          <w:divBdr>
            <w:top w:val="none" w:sz="0" w:space="0" w:color="auto"/>
            <w:left w:val="none" w:sz="0" w:space="0" w:color="auto"/>
            <w:bottom w:val="none" w:sz="0" w:space="0" w:color="auto"/>
            <w:right w:val="none" w:sz="0" w:space="0" w:color="auto"/>
          </w:divBdr>
        </w:div>
        <w:div w:id="1933735734">
          <w:marLeft w:val="0"/>
          <w:marRight w:val="0"/>
          <w:marTop w:val="0"/>
          <w:marBottom w:val="0"/>
          <w:divBdr>
            <w:top w:val="none" w:sz="0" w:space="0" w:color="auto"/>
            <w:left w:val="none" w:sz="0" w:space="0" w:color="auto"/>
            <w:bottom w:val="none" w:sz="0" w:space="0" w:color="auto"/>
            <w:right w:val="none" w:sz="0" w:space="0" w:color="auto"/>
          </w:divBdr>
        </w:div>
        <w:div w:id="231277220">
          <w:marLeft w:val="0"/>
          <w:marRight w:val="0"/>
          <w:marTop w:val="0"/>
          <w:marBottom w:val="0"/>
          <w:divBdr>
            <w:top w:val="none" w:sz="0" w:space="0" w:color="auto"/>
            <w:left w:val="none" w:sz="0" w:space="0" w:color="auto"/>
            <w:bottom w:val="none" w:sz="0" w:space="0" w:color="auto"/>
            <w:right w:val="none" w:sz="0" w:space="0" w:color="auto"/>
          </w:divBdr>
          <w:divsChild>
            <w:div w:id="19290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9540">
      <w:bodyDiv w:val="1"/>
      <w:marLeft w:val="0"/>
      <w:marRight w:val="0"/>
      <w:marTop w:val="0"/>
      <w:marBottom w:val="0"/>
      <w:divBdr>
        <w:top w:val="none" w:sz="0" w:space="0" w:color="auto"/>
        <w:left w:val="none" w:sz="0" w:space="0" w:color="auto"/>
        <w:bottom w:val="none" w:sz="0" w:space="0" w:color="auto"/>
        <w:right w:val="none" w:sz="0" w:space="0" w:color="auto"/>
      </w:divBdr>
    </w:div>
    <w:div w:id="2119988708">
      <w:bodyDiv w:val="1"/>
      <w:marLeft w:val="0"/>
      <w:marRight w:val="0"/>
      <w:marTop w:val="0"/>
      <w:marBottom w:val="0"/>
      <w:divBdr>
        <w:top w:val="none" w:sz="0" w:space="0" w:color="auto"/>
        <w:left w:val="none" w:sz="0" w:space="0" w:color="auto"/>
        <w:bottom w:val="none" w:sz="0" w:space="0" w:color="auto"/>
        <w:right w:val="none" w:sz="0" w:space="0" w:color="auto"/>
      </w:divBdr>
      <w:divsChild>
        <w:div w:id="1349872075">
          <w:marLeft w:val="0"/>
          <w:marRight w:val="0"/>
          <w:marTop w:val="0"/>
          <w:marBottom w:val="0"/>
          <w:divBdr>
            <w:top w:val="none" w:sz="0" w:space="0" w:color="auto"/>
            <w:left w:val="none" w:sz="0" w:space="0" w:color="auto"/>
            <w:bottom w:val="none" w:sz="0" w:space="0" w:color="auto"/>
            <w:right w:val="none" w:sz="0" w:space="0" w:color="auto"/>
          </w:divBdr>
        </w:div>
        <w:div w:id="77425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davispt.mhmedical.com/content.aspx?legacysectionid=CiccDrugGuide_pt08" TargetMode="External"/><Relationship Id="rId5" Type="http://schemas.openxmlformats.org/officeDocument/2006/relationships/hyperlink" Target="https://fadavispt.mhmedical.com/content.aspx?legacysectionid=CiccDrugGuide_pt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ward.brooklyn08@gmail.com</dc:creator>
  <cp:keywords/>
  <dc:description/>
  <cp:lastModifiedBy>ward.brooklyn08@gmail.com</cp:lastModifiedBy>
  <cp:revision>2</cp:revision>
  <dcterms:created xsi:type="dcterms:W3CDTF">2022-05-02T02:19:00Z</dcterms:created>
  <dcterms:modified xsi:type="dcterms:W3CDTF">2022-05-03T15:56:00Z</dcterms:modified>
</cp:coreProperties>
</file>