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55"/>
        <w:tblW w:w="15568" w:type="dxa"/>
        <w:tblLayout w:type="fixed"/>
        <w:tblLook w:val="04A0" w:firstRow="1" w:lastRow="0" w:firstColumn="1" w:lastColumn="0" w:noHBand="0" w:noVBand="1"/>
      </w:tblPr>
      <w:tblGrid>
        <w:gridCol w:w="236"/>
        <w:gridCol w:w="2191"/>
        <w:gridCol w:w="12899"/>
        <w:gridCol w:w="242"/>
      </w:tblGrid>
      <w:tr w:rsidR="00123B59" w:rsidRPr="001D5A88" w14:paraId="43DB93A3" w14:textId="77777777" w:rsidTr="00856D18">
        <w:trPr>
          <w:trHeight w:val="267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118EA26" w14:textId="77777777" w:rsidR="00123B59" w:rsidRPr="001D5A88" w:rsidRDefault="00123B59" w:rsidP="00856D18">
            <w:pPr>
              <w:pStyle w:val="Heading1"/>
              <w:outlineLvl w:val="0"/>
              <w:rPr>
                <w:sz w:val="24"/>
                <w:szCs w:val="24"/>
                <w:lang w:val="en-CA"/>
              </w:rPr>
            </w:pPr>
            <w:r w:rsidRPr="00D82A9D">
              <w:rPr>
                <w:sz w:val="24"/>
                <w:szCs w:val="24"/>
              </w:rPr>
              <w:t>Generic &amp; Trade Name of Drug:</w:t>
            </w:r>
            <w:r>
              <w:rPr>
                <w:sz w:val="24"/>
                <w:szCs w:val="24"/>
              </w:rPr>
              <w:t xml:space="preserve"> </w:t>
            </w:r>
            <w:r w:rsidRPr="004E53A9">
              <w:rPr>
                <w:sz w:val="24"/>
                <w:szCs w:val="24"/>
              </w:rPr>
              <w:t>Ramipril</w:t>
            </w:r>
          </w:p>
        </w:tc>
      </w:tr>
      <w:tr w:rsidR="00123B59" w:rsidRPr="00E17A5C" w14:paraId="11E5ABAE" w14:textId="77777777" w:rsidTr="00856D18">
        <w:trPr>
          <w:trHeight w:val="253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BBBA44" w14:textId="77777777" w:rsidR="00123B59" w:rsidRPr="00E17A5C" w:rsidRDefault="00123B59" w:rsidP="00856D18">
            <w:pPr>
              <w:pStyle w:val="Heading2"/>
              <w:outlineLvl w:val="1"/>
              <w:rPr>
                <w:i/>
                <w:iCs/>
                <w:sz w:val="22"/>
                <w:szCs w:val="22"/>
              </w:rPr>
            </w:pPr>
            <w:r w:rsidRPr="00587BAA">
              <w:rPr>
                <w:i/>
                <w:iCs/>
                <w:sz w:val="22"/>
                <w:szCs w:val="22"/>
              </w:rPr>
              <w:t>Func. Class:</w:t>
            </w:r>
            <w:r>
              <w:rPr>
                <w:i/>
                <w:iCs/>
                <w:sz w:val="22"/>
                <w:szCs w:val="22"/>
              </w:rPr>
              <w:t xml:space="preserve"> Antihypertensive</w:t>
            </w:r>
            <w:r>
              <w:t xml:space="preserve"> </w:t>
            </w:r>
            <w:r w:rsidRPr="00587BAA">
              <w:rPr>
                <w:i/>
                <w:iCs/>
                <w:sz w:val="22"/>
                <w:szCs w:val="22"/>
              </w:rPr>
              <w:t>; Chem. Class:</w:t>
            </w:r>
            <w:r>
              <w:rPr>
                <w:i/>
                <w:iCs/>
                <w:sz w:val="22"/>
                <w:szCs w:val="22"/>
              </w:rPr>
              <w:t xml:space="preserve"> Angiotensin-converting enzyme inhibitor (ACE inhibitor)</w:t>
            </w:r>
          </w:p>
        </w:tc>
      </w:tr>
      <w:tr w:rsidR="00123B59" w14:paraId="0D93B4CE" w14:textId="77777777" w:rsidTr="00856D18">
        <w:trPr>
          <w:trHeight w:val="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32F7F80C" w14:textId="77777777" w:rsidR="00123B59" w:rsidRDefault="00123B59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DF3A2EC" w14:textId="77777777" w:rsidR="00123B59" w:rsidRPr="00115E9A" w:rsidRDefault="00123B59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Indications/ Therapeutic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6BE2B46" w14:textId="77777777" w:rsidR="00123B59" w:rsidRPr="008A0D69" w:rsidRDefault="00123B59" w:rsidP="00856D18">
            <w:r>
              <w:rPr>
                <w:b/>
                <w:bCs/>
              </w:rPr>
              <w:t>Action:</w:t>
            </w:r>
            <w:r>
              <w:t xml:space="preserve"> selectively suppresses renin-angiotensin-aldosterone system; inhibits ACE, prevents conversion of angiotensin I to angiotensin II; results in dilation of arterial, venous vessels</w:t>
            </w:r>
          </w:p>
          <w:p w14:paraId="388EF9DE" w14:textId="77777777" w:rsidR="00123B59" w:rsidRPr="003B5247" w:rsidRDefault="00123B59" w:rsidP="00856D18">
            <w:r>
              <w:rPr>
                <w:b/>
                <w:bCs/>
              </w:rPr>
              <w:t xml:space="preserve">USES: </w:t>
            </w:r>
            <w:r>
              <w:t xml:space="preserve">hypertension, alone or in combination with thiazide diuretics; HF (post-MI), reduction in risk for MI, stroke, death from CV disorders; </w:t>
            </w:r>
            <w:r>
              <w:rPr>
                <w:b/>
                <w:bCs/>
              </w:rPr>
              <w:t>Unlabeled uses:</w:t>
            </w:r>
            <w:r>
              <w:t xml:space="preserve"> proteinuria due to diabetic nephropathy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0148087" w14:textId="77777777" w:rsidR="00123B59" w:rsidRDefault="00123B59" w:rsidP="00856D18"/>
        </w:tc>
      </w:tr>
      <w:tr w:rsidR="00123B59" w14:paraId="4C636223" w14:textId="77777777" w:rsidTr="00856D18">
        <w:trPr>
          <w:trHeight w:val="3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68BFCAD" w14:textId="77777777" w:rsidR="00123B59" w:rsidRDefault="00123B59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36981BD" w14:textId="77777777" w:rsidR="00123B59" w:rsidRPr="00115E9A" w:rsidRDefault="00123B59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Routes of Administration: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1A32A78" w14:textId="77777777" w:rsidR="00123B59" w:rsidRPr="003B5247" w:rsidRDefault="00123B59" w:rsidP="00856D18">
            <w:r>
              <w:t>PO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BA10C58" w14:textId="77777777" w:rsidR="00123B59" w:rsidRDefault="00123B59" w:rsidP="00856D18"/>
        </w:tc>
      </w:tr>
      <w:tr w:rsidR="00123B59" w14:paraId="7A446B5F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1BB8AE36" w14:textId="77777777" w:rsidR="00123B59" w:rsidRDefault="00123B59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000AC3" w14:textId="77777777" w:rsidR="00123B59" w:rsidRPr="00115E9A" w:rsidRDefault="00123B59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Pharmacokinetics: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7A996B4" w14:textId="77777777" w:rsidR="00123B59" w:rsidRDefault="00123B59" w:rsidP="00856D18">
            <w:r>
              <w:t>Bioavailability &gt; 50-60%, onset 1-2 hours, peak 1-3 hours, duration 24 hours, protein binding 75%, half-life 13-17 hours, metabolized by liver (metabolites excreted in urine, feces)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0077C9D" w14:textId="77777777" w:rsidR="00123B59" w:rsidRDefault="00123B59" w:rsidP="00856D18"/>
        </w:tc>
      </w:tr>
      <w:tr w:rsidR="00123B59" w14:paraId="0D84A6A9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2DD821A3" w14:textId="77777777" w:rsidR="00123B59" w:rsidRDefault="00123B59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78F2316" w14:textId="77777777" w:rsidR="00123B59" w:rsidRPr="00115E9A" w:rsidRDefault="00123B59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Nursing Implications/ Assessments: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941D7AA" w14:textId="77777777" w:rsidR="00123B59" w:rsidRPr="0046334C" w:rsidRDefault="00123B59" w:rsidP="00856D18">
            <w:r>
              <w:rPr>
                <w:b/>
                <w:bCs/>
              </w:rPr>
              <w:t>Hypertension:</w:t>
            </w:r>
            <w:r>
              <w:t xml:space="preserve"> monitor BP baseline and regularly, orthostatic hypotension, syncope; </w:t>
            </w:r>
            <w:r>
              <w:rPr>
                <w:b/>
                <w:bCs/>
              </w:rPr>
              <w:t>Heart failure:</w:t>
            </w:r>
            <w:r>
              <w:t xml:space="preserve"> edema in feet, and legs daily, weight daily; </w:t>
            </w:r>
            <w:r>
              <w:rPr>
                <w:b/>
                <w:bCs/>
              </w:rPr>
              <w:t>Collagen-vascular disease (SLE, scleroderma):</w:t>
            </w:r>
            <w:r>
              <w:t xml:space="preserve"> neutrophils, decreased platelets, WBC with differential at baseline, periodically, if neutrophils &lt;1000/mm3, discontinue treatment; </w:t>
            </w:r>
            <w:r>
              <w:rPr>
                <w:b/>
                <w:bCs/>
              </w:rPr>
              <w:t>Renal disease:</w:t>
            </w:r>
            <w:r>
              <w:t xml:space="preserve"> protein, BUN creatinine, potassium, sodium at baseline, periodically, increased levels may indicate nephrotic syndrome, renal symptoms, polyuria, oliguria, urinary frequency, dysuria; </w:t>
            </w:r>
            <w:r>
              <w:rPr>
                <w:b/>
                <w:bCs/>
              </w:rPr>
              <w:t>Serious allergic reactions:</w:t>
            </w:r>
            <w:r>
              <w:t xml:space="preserve"> angioedema, Stevens-Johnson syndrome, rash, fever, pruritis, urticaria, product should be discontinued if antihistamines fail to help; monitor electrolytes baseline and periodically, potassium may be increased; for dry cough, notify prescriber as product may need to be discontinued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DFB51F9" w14:textId="77777777" w:rsidR="00123B59" w:rsidRDefault="00123B59" w:rsidP="00856D18"/>
        </w:tc>
      </w:tr>
      <w:tr w:rsidR="00123B59" w14:paraId="1DA697B5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34FA55C5" w14:textId="77777777" w:rsidR="00123B59" w:rsidRDefault="00123B59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2B93F23" w14:textId="77777777" w:rsidR="00123B59" w:rsidRPr="00115E9A" w:rsidRDefault="00123B59" w:rsidP="00856D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5E9A">
              <w:rPr>
                <w:rFonts w:asciiTheme="minorHAnsi" w:hAnsiTheme="minorHAnsi" w:cstheme="minorHAnsi"/>
                <w:b/>
                <w:bCs/>
              </w:rPr>
              <w:t>Side/ Adverse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B7C9A8" w14:textId="77777777" w:rsidR="00123B59" w:rsidRDefault="00123B59" w:rsidP="00856D18">
            <w:r>
              <w:rPr>
                <w:b/>
                <w:bCs/>
              </w:rPr>
              <w:t>CNS:</w:t>
            </w:r>
            <w:r>
              <w:t xml:space="preserve"> headache, dizziness, anxiety, insomnia, paresthesia, fatigue, depression, malaise, vertigo, syncope</w:t>
            </w:r>
          </w:p>
          <w:p w14:paraId="00BFDE65" w14:textId="77777777" w:rsidR="00123B59" w:rsidRDefault="00123B59" w:rsidP="00856D18">
            <w:r>
              <w:rPr>
                <w:b/>
                <w:bCs/>
              </w:rPr>
              <w:t>CV:</w:t>
            </w:r>
            <w:r>
              <w:t xml:space="preserve"> hypotension, chest pain, palpitations, angina, syncope, dysrhythmia, heart failure, MI</w:t>
            </w:r>
          </w:p>
          <w:p w14:paraId="5BC38130" w14:textId="77777777" w:rsidR="00123B59" w:rsidRDefault="00123B59" w:rsidP="00856D18">
            <w:r>
              <w:rPr>
                <w:b/>
                <w:bCs/>
              </w:rPr>
              <w:t>GI:</w:t>
            </w:r>
            <w:r>
              <w:t xml:space="preserve"> nausea, constipation, vomiting, anorexia, diarrhea, abdominal pain</w:t>
            </w:r>
          </w:p>
          <w:p w14:paraId="763FE6A0" w14:textId="77777777" w:rsidR="00123B59" w:rsidRDefault="00123B59" w:rsidP="00856D18">
            <w:r>
              <w:rPr>
                <w:b/>
                <w:bCs/>
              </w:rPr>
              <w:t>GU:</w:t>
            </w:r>
            <w:r>
              <w:t xml:space="preserve"> proteinuria, increased BUN, creatinine, impotence</w:t>
            </w:r>
          </w:p>
          <w:p w14:paraId="0C7F8BC7" w14:textId="77777777" w:rsidR="00123B59" w:rsidRDefault="00123B59" w:rsidP="00856D18">
            <w:r>
              <w:rPr>
                <w:b/>
                <w:bCs/>
              </w:rPr>
              <w:t>INTEG:</w:t>
            </w:r>
            <w:r>
              <w:t xml:space="preserve"> rash, sweating, photosensitivity, pruritus</w:t>
            </w:r>
          </w:p>
          <w:p w14:paraId="14220A51" w14:textId="77777777" w:rsidR="00123B59" w:rsidRDefault="00123B59" w:rsidP="00856D18">
            <w:r>
              <w:rPr>
                <w:b/>
                <w:bCs/>
              </w:rPr>
              <w:t>META:</w:t>
            </w:r>
            <w:r>
              <w:t xml:space="preserve"> hyperkalemia</w:t>
            </w:r>
          </w:p>
          <w:p w14:paraId="78F281AA" w14:textId="77777777" w:rsidR="00123B59" w:rsidRDefault="00123B59" w:rsidP="00856D18">
            <w:r>
              <w:rPr>
                <w:b/>
                <w:bCs/>
              </w:rPr>
              <w:t xml:space="preserve">MS: </w:t>
            </w:r>
            <w:r>
              <w:t xml:space="preserve"> arthralgia, arthritis, myalgia</w:t>
            </w:r>
          </w:p>
          <w:p w14:paraId="0A655876" w14:textId="77777777" w:rsidR="00123B59" w:rsidRPr="009E0E72" w:rsidRDefault="00123B59" w:rsidP="00856D18">
            <w:r>
              <w:rPr>
                <w:b/>
                <w:bCs/>
              </w:rPr>
              <w:t>RESP:</w:t>
            </w:r>
            <w:r>
              <w:t xml:space="preserve"> dry cough, dyspnea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CFF6A86" w14:textId="77777777" w:rsidR="00123B59" w:rsidRDefault="00123B59" w:rsidP="00856D18"/>
        </w:tc>
      </w:tr>
      <w:tr w:rsidR="00123B59" w14:paraId="40A62AF1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1B16CC81" w14:textId="77777777" w:rsidR="00123B59" w:rsidRDefault="00123B59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4B02ADB" w14:textId="77777777" w:rsidR="00123B59" w:rsidRPr="00115E9A" w:rsidRDefault="00123B59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Contraindications: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5690408" w14:textId="77777777" w:rsidR="00123B59" w:rsidRPr="003B5247" w:rsidRDefault="00123B59" w:rsidP="00856D18">
            <w:r>
              <w:t xml:space="preserve">Breastfeeding, children, hypersensitivity to ACE inhibitors, history of ACE inhibitor-induced angioedema; </w:t>
            </w:r>
            <w:r>
              <w:rPr>
                <w:b/>
                <w:bCs/>
              </w:rPr>
              <w:t>Precautions:</w:t>
            </w:r>
            <w:r>
              <w:t xml:space="preserve"> geriatric patients, impaired renal/hepatic function, dialysis patients, hypovolemia, blood dyscrasis, HF, renal artery stenosis, cough, African descent, aortic stenosis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8CC4CAC" w14:textId="77777777" w:rsidR="00123B59" w:rsidRDefault="00123B59" w:rsidP="00856D18"/>
        </w:tc>
      </w:tr>
      <w:tr w:rsidR="00123B59" w14:paraId="424C1F8D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41CA2BD4" w14:textId="77777777" w:rsidR="00123B59" w:rsidRDefault="00123B59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4003A69" w14:textId="77777777" w:rsidR="00123B59" w:rsidRPr="00115E9A" w:rsidRDefault="00123B59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Client Teaching: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CD922F" w14:textId="77777777" w:rsidR="00123B59" w:rsidRDefault="00123B59" w:rsidP="00856D18">
            <w:r>
              <w:t xml:space="preserve">Not to discontinue product abruptly, to comply with dosage schedule even if feeling better; not to use OTC products (cough, cold, allergy), herbals, supplements, unless directed by prescriber, not to use salt substitutes containing potassium without consulting prescriber; to rise slowing to sitting or standing position to minimize orthostatic hypotension; to notify prescriber of mouth sores, sore throat, fever, swelling of hands of feet, irregular heartbeat, chest pain; to report excessive perspiration, dehydration, vomiting, diarrhea, may lead to fall in BP, to maintain hydration; that product may cause dizziness, fainting, light-headedness, that these may occur during first few days of therapy, to avoid hazardous activities until response is known; that product may cause skin rash, impaired perspiration; how to take BP, normal readings for age group; to report dry cough to provider 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46DC5DA" w14:textId="77777777" w:rsidR="00123B59" w:rsidRDefault="00123B59" w:rsidP="00856D18"/>
        </w:tc>
      </w:tr>
      <w:tr w:rsidR="00123B59" w14:paraId="4BD42874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D633883" w14:textId="77777777" w:rsidR="00123B59" w:rsidRDefault="00123B59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27C070D" w14:textId="77777777" w:rsidR="00123B59" w:rsidRPr="00115E9A" w:rsidRDefault="00123B59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B277B87" w14:textId="77777777" w:rsidR="00123B59" w:rsidRPr="00F554A1" w:rsidRDefault="00123B59" w:rsidP="00856D18">
            <w:r>
              <w:rPr>
                <w:b/>
                <w:bCs/>
              </w:rPr>
              <w:t xml:space="preserve">Black Box Warning: </w:t>
            </w:r>
            <w:r>
              <w:t>pregnancy: identify if pregnant of if pregnancy is planned or suspected; if pregnant, discontinue product; do not use if pregnant/breastfeeding; can cause injury or death to developing fetus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4BAC2E8" w14:textId="77777777" w:rsidR="00123B59" w:rsidRDefault="00123B59" w:rsidP="00856D18"/>
        </w:tc>
      </w:tr>
      <w:tr w:rsidR="00123B59" w:rsidRPr="004109DF" w14:paraId="77418C60" w14:textId="77777777" w:rsidTr="00856D18">
        <w:trPr>
          <w:trHeight w:val="30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20D2BE" w14:textId="77777777" w:rsidR="00123B59" w:rsidRPr="004109DF" w:rsidRDefault="00123B59" w:rsidP="00856D18"/>
        </w:tc>
      </w:tr>
    </w:tbl>
    <w:p w14:paraId="79C1F712" w14:textId="77777777" w:rsidR="0037024E" w:rsidRDefault="00123B59"/>
    <w:sectPr w:rsidR="0037024E" w:rsidSect="00123B5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59"/>
    <w:rsid w:val="00123B59"/>
    <w:rsid w:val="001B2E2A"/>
    <w:rsid w:val="00476AD1"/>
    <w:rsid w:val="00606885"/>
    <w:rsid w:val="00AD42F9"/>
    <w:rsid w:val="00B13D99"/>
    <w:rsid w:val="00C24C41"/>
    <w:rsid w:val="00ED5BEF"/>
    <w:rsid w:val="00F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4631F"/>
  <w14:defaultImageDpi w14:val="32767"/>
  <w15:chartTrackingRefBased/>
  <w15:docId w15:val="{D1BD0319-E403-184A-8225-1C941B0E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23B59"/>
    <w:rPr>
      <w:rFonts w:ascii="Calibri" w:hAnsi="Calibr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B59"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B59"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B59"/>
    <w:pPr>
      <w:outlineLvl w:val="2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B59"/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B59"/>
    <w:rPr>
      <w:rFonts w:asciiTheme="majorHAnsi" w:hAnsiTheme="majorHAnsi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23B59"/>
    <w:rPr>
      <w:rFonts w:asciiTheme="majorHAnsi" w:hAnsiTheme="majorHAnsi"/>
      <w:b/>
      <w:sz w:val="18"/>
      <w:szCs w:val="18"/>
    </w:rPr>
  </w:style>
  <w:style w:type="table" w:styleId="TableGrid">
    <w:name w:val="Table Grid"/>
    <w:basedOn w:val="TableNormal"/>
    <w:uiPriority w:val="59"/>
    <w:rsid w:val="00123B5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Leckie</dc:creator>
  <cp:keywords/>
  <dc:description/>
  <cp:lastModifiedBy>Taylor Leckie</cp:lastModifiedBy>
  <cp:revision>1</cp:revision>
  <dcterms:created xsi:type="dcterms:W3CDTF">2022-05-02T03:51:00Z</dcterms:created>
  <dcterms:modified xsi:type="dcterms:W3CDTF">2022-05-02T03:51:00Z</dcterms:modified>
</cp:coreProperties>
</file>