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F44D7A" w:rsidRPr="001D5A88" w14:paraId="36F6EC03" w14:textId="77777777" w:rsidTr="00051EAE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647438A" w14:textId="146D77DA" w:rsidR="00F44D7A" w:rsidRPr="001D5A88" w:rsidRDefault="00F44D7A" w:rsidP="00051EAE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="00657CE4">
              <w:rPr>
                <w:sz w:val="24"/>
                <w:szCs w:val="24"/>
              </w:rPr>
              <w:t>Prednisone</w:t>
            </w:r>
            <w:r w:rsidR="0059602B">
              <w:rPr>
                <w:sz w:val="24"/>
                <w:szCs w:val="24"/>
              </w:rPr>
              <w:t xml:space="preserve"> (</w:t>
            </w:r>
            <w:proofErr w:type="spellStart"/>
            <w:r w:rsidR="0059602B">
              <w:rPr>
                <w:sz w:val="24"/>
                <w:szCs w:val="24"/>
              </w:rPr>
              <w:t>Rayos</w:t>
            </w:r>
            <w:proofErr w:type="spellEnd"/>
            <w:r w:rsidR="0059602B">
              <w:rPr>
                <w:sz w:val="24"/>
                <w:szCs w:val="24"/>
              </w:rPr>
              <w:t>, Winpred)</w:t>
            </w:r>
          </w:p>
        </w:tc>
      </w:tr>
      <w:tr w:rsidR="00F44D7A" w:rsidRPr="00E17A5C" w14:paraId="6CEA6C5A" w14:textId="77777777" w:rsidTr="00051EAE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8F1A0" w14:textId="0EF48B4B" w:rsidR="00F44D7A" w:rsidRPr="00E17A5C" w:rsidRDefault="00F44D7A" w:rsidP="00051EAE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proofErr w:type="spellStart"/>
            <w:r w:rsidRPr="00587BAA">
              <w:rPr>
                <w:i/>
                <w:iCs/>
                <w:sz w:val="22"/>
                <w:szCs w:val="22"/>
              </w:rPr>
              <w:t>Func</w:t>
            </w:r>
            <w:proofErr w:type="spellEnd"/>
            <w:r w:rsidRPr="00587BAA">
              <w:rPr>
                <w:i/>
                <w:iCs/>
                <w:sz w:val="22"/>
                <w:szCs w:val="22"/>
              </w:rPr>
              <w:t xml:space="preserve">. Class: </w:t>
            </w:r>
            <w:r w:rsidR="0059602B">
              <w:rPr>
                <w:i/>
                <w:iCs/>
                <w:sz w:val="22"/>
                <w:szCs w:val="22"/>
              </w:rPr>
              <w:t>corticosteroids</w:t>
            </w:r>
          </w:p>
        </w:tc>
      </w:tr>
      <w:tr w:rsidR="00F44D7A" w14:paraId="16B246CA" w14:textId="77777777" w:rsidTr="00051EAE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84BA1BE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88E957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A51DF9B" w14:textId="1805B2FF" w:rsidR="00A66187" w:rsidRPr="00B8408B" w:rsidRDefault="00A66187" w:rsidP="00B8408B">
            <w:pPr>
              <w:pStyle w:val="ListParagraph"/>
              <w:numPr>
                <w:ilvl w:val="0"/>
                <w:numId w:val="3"/>
              </w:numPr>
            </w:pPr>
            <w:r w:rsidRPr="00B8408B">
              <w:t>Decreases inflammation by</w:t>
            </w:r>
            <w:r w:rsidRPr="00B8408B">
              <w:t xml:space="preserve"> </w:t>
            </w:r>
            <w:r w:rsidRPr="00B8408B">
              <w:t>increasing capillary permeability and</w:t>
            </w:r>
            <w:r w:rsidRPr="00B8408B">
              <w:t xml:space="preserve"> </w:t>
            </w:r>
            <w:r w:rsidRPr="00B8408B">
              <w:t>lysosomal</w:t>
            </w:r>
            <w:r w:rsidRPr="00B8408B">
              <w:t xml:space="preserve"> </w:t>
            </w:r>
            <w:r w:rsidRPr="00B8408B">
              <w:t>stabilization,</w:t>
            </w:r>
            <w:r w:rsidRPr="00B8408B">
              <w:t xml:space="preserve"> </w:t>
            </w:r>
            <w:r w:rsidRPr="00B8408B">
              <w:t>minimal</w:t>
            </w:r>
            <w:r w:rsidRPr="00B8408B">
              <w:t xml:space="preserve"> </w:t>
            </w:r>
            <w:r w:rsidRPr="00B8408B">
              <w:t>mineralocorticoid activity</w:t>
            </w:r>
          </w:p>
          <w:p w14:paraId="5E490E57" w14:textId="77777777" w:rsidR="00B8408B" w:rsidRDefault="00A66187" w:rsidP="00B8408B">
            <w:pPr>
              <w:pStyle w:val="ListParagraph"/>
              <w:numPr>
                <w:ilvl w:val="0"/>
                <w:numId w:val="3"/>
              </w:numPr>
            </w:pPr>
            <w:r w:rsidRPr="00B8408B">
              <w:t>Severe</w:t>
            </w:r>
            <w:r w:rsidRPr="00B8408B">
              <w:t xml:space="preserve"> </w:t>
            </w:r>
            <w:r w:rsidRPr="00B8408B">
              <w:t>inflammation,</w:t>
            </w:r>
            <w:r w:rsidRPr="00B8408B">
              <w:t xml:space="preserve"> </w:t>
            </w:r>
            <w:r w:rsidRPr="00B8408B">
              <w:t>neoplasms, multiple sclerosis, collagen</w:t>
            </w:r>
            <w:r w:rsidRPr="00B8408B">
              <w:t xml:space="preserve"> </w:t>
            </w:r>
            <w:r w:rsidRPr="00B8408B">
              <w:t>disorders,</w:t>
            </w:r>
            <w:r w:rsidRPr="00B8408B">
              <w:t xml:space="preserve"> </w:t>
            </w:r>
            <w:r w:rsidRPr="00B8408B">
              <w:t>dermatologic</w:t>
            </w:r>
            <w:r w:rsidRPr="00B8408B">
              <w:t xml:space="preserve"> </w:t>
            </w:r>
            <w:r w:rsidRPr="00B8408B">
              <w:t>disorders,</w:t>
            </w:r>
            <w:r w:rsidRPr="00B8408B">
              <w:t xml:space="preserve"> </w:t>
            </w:r>
            <w:r w:rsidRPr="00B8408B">
              <w:t>pulmonary fibrosis,</w:t>
            </w:r>
            <w:r w:rsidRPr="00B8408B">
              <w:t xml:space="preserve"> </w:t>
            </w:r>
            <w:r w:rsidRPr="00B8408B">
              <w:t>asthma</w:t>
            </w:r>
          </w:p>
          <w:p w14:paraId="75F92A53" w14:textId="0DB5AADE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</w:pPr>
            <w:r w:rsidRPr="00B8408B">
              <w:t>E</w:t>
            </w:r>
            <w:r w:rsidRPr="00B8408B">
              <w:t xml:space="preserve">ase of </w:t>
            </w:r>
            <w:r w:rsidRPr="00B8408B">
              <w:t>respirations</w:t>
            </w:r>
            <w:r w:rsidRPr="00B8408B">
              <w:t>, decreased inflammation</w:t>
            </w:r>
          </w:p>
          <w:p w14:paraId="200804DD" w14:textId="5228D638" w:rsidR="00A66187" w:rsidRPr="00B8408B" w:rsidRDefault="00A66187" w:rsidP="00B8408B">
            <w:r w:rsidRPr="00B8408B">
              <w:rPr>
                <w:b/>
                <w:bCs/>
              </w:rPr>
              <w:t>Unlabeled uses</w:t>
            </w:r>
            <w:r w:rsidRPr="00B8408B">
              <w:rPr>
                <w:b/>
                <w:bCs/>
              </w:rPr>
              <w:t>:</w:t>
            </w:r>
            <w:r w:rsidRPr="00B8408B">
              <w:t xml:space="preserve"> </w:t>
            </w:r>
            <w:r w:rsidRPr="00B8408B">
              <w:t xml:space="preserve">Adjunct </w:t>
            </w:r>
            <w:r w:rsidRPr="00B8408B">
              <w:t>f</w:t>
            </w:r>
            <w:r w:rsidRPr="00B8408B">
              <w:t xml:space="preserve">or </w:t>
            </w:r>
            <w:r w:rsidR="00B8408B" w:rsidRPr="00B8408B">
              <w:t>refractory</w:t>
            </w:r>
            <w:r w:rsidRPr="00B8408B">
              <w:t xml:space="preserve"> </w:t>
            </w:r>
            <w:r w:rsidRPr="00B8408B">
              <w:t xml:space="preserve">seizures, infantile spasms, acute </w:t>
            </w:r>
            <w:r w:rsidR="00B8408B" w:rsidRPr="00B8408B">
              <w:t>interstitial</w:t>
            </w:r>
            <w:r w:rsidRPr="00B8408B">
              <w:t xml:space="preserve"> nephritis, amyloidosis, autoimmune</w:t>
            </w:r>
          </w:p>
          <w:p w14:paraId="67206D16" w14:textId="03AF1297" w:rsidR="00F44D7A" w:rsidRPr="00B8408B" w:rsidRDefault="00A66187" w:rsidP="00B8408B">
            <w:r w:rsidRPr="00B8408B">
              <w:t xml:space="preserve">hepatitis, </w:t>
            </w:r>
            <w:proofErr w:type="spellStart"/>
            <w:r w:rsidRPr="00B8408B">
              <w:t>Behget's</w:t>
            </w:r>
            <w:proofErr w:type="spellEnd"/>
            <w:r w:rsidRPr="00B8408B">
              <w:t xml:space="preserve"> syndrome, Bell's palsy,</w:t>
            </w:r>
            <w:r w:rsidRPr="00B8408B">
              <w:t xml:space="preserve"> </w:t>
            </w:r>
            <w:r w:rsidRPr="00B8408B">
              <w:t>carpal tunnel syndrome, Churg-Strauss</w:t>
            </w:r>
            <w:r w:rsidRPr="00B8408B">
              <w:t xml:space="preserve"> </w:t>
            </w:r>
            <w:r w:rsidRPr="00B8408B">
              <w:t>syndrome,</w:t>
            </w:r>
            <w:r w:rsidRPr="00B8408B">
              <w:t xml:space="preserve"> </w:t>
            </w:r>
            <w:r w:rsidRPr="00B8408B">
              <w:t>dermatomyositis,</w:t>
            </w:r>
            <w:r w:rsidRPr="00B8408B">
              <w:t xml:space="preserve"> </w:t>
            </w:r>
            <w:r w:rsidRPr="00B8408B">
              <w:t>Duchenne</w:t>
            </w:r>
            <w:r w:rsidRPr="00B8408B">
              <w:t xml:space="preserve"> </w:t>
            </w:r>
            <w:r w:rsidRPr="00B8408B">
              <w:t>muscular dystrophy, endophthalmitis,</w:t>
            </w:r>
            <w:r w:rsidRPr="00B8408B">
              <w:t xml:space="preserve"> </w:t>
            </w:r>
            <w:r w:rsidRPr="00B8408B">
              <w:t>Lennox-</w:t>
            </w:r>
            <w:proofErr w:type="spellStart"/>
            <w:r w:rsidRPr="00B8408B">
              <w:t>Gastaut</w:t>
            </w:r>
            <w:proofErr w:type="spellEnd"/>
            <w:r w:rsidRPr="00B8408B">
              <w:t xml:space="preserve"> syndrome, lupus nephritis, mixed connective-tissue disease,</w:t>
            </w:r>
            <w:r w:rsidRPr="00B8408B">
              <w:t xml:space="preserve"> </w:t>
            </w:r>
            <w:r w:rsidRPr="00B8408B">
              <w:t>pericarditis, pneumonia,</w:t>
            </w:r>
            <w:r w:rsidRPr="00B8408B">
              <w:t xml:space="preserve"> </w:t>
            </w:r>
            <w:r w:rsidRPr="00B8408B">
              <w:t>polyarteritis</w:t>
            </w:r>
            <w:r w:rsidRPr="00B8408B">
              <w:t xml:space="preserve"> </w:t>
            </w:r>
            <w:r w:rsidRPr="00B8408B">
              <w:t>nodosa,</w:t>
            </w:r>
            <w:r w:rsidRPr="00B8408B">
              <w:t xml:space="preserve"> </w:t>
            </w:r>
            <w:proofErr w:type="spellStart"/>
            <w:r w:rsidRPr="00B8408B">
              <w:t>polychondritis</w:t>
            </w:r>
            <w:proofErr w:type="spellEnd"/>
            <w:r w:rsidRPr="00B8408B">
              <w:t>,</w:t>
            </w:r>
            <w:r w:rsidRPr="00B8408B">
              <w:t xml:space="preserve"> </w:t>
            </w:r>
            <w:r w:rsidRPr="00B8408B">
              <w:t>polymyositis,</w:t>
            </w:r>
            <w:r w:rsidRPr="00B8408B">
              <w:t xml:space="preserve"> </w:t>
            </w:r>
            <w:r w:rsidRPr="00B8408B">
              <w:t>rheumatic carditis, temporal</w:t>
            </w:r>
            <w:r w:rsidRPr="00B8408B">
              <w:t xml:space="preserve"> </w:t>
            </w:r>
            <w:r w:rsidRPr="00B8408B">
              <w:t>arteritis,</w:t>
            </w:r>
            <w:r w:rsidRPr="00B8408B">
              <w:t xml:space="preserve"> </w:t>
            </w:r>
            <w:r w:rsidRPr="00B8408B">
              <w:t>TB, Wegener's granulomatosis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205E1BF" w14:textId="77777777" w:rsidR="00F44D7A" w:rsidRDefault="00F44D7A" w:rsidP="00051EAE"/>
        </w:tc>
      </w:tr>
      <w:tr w:rsidR="00F44D7A" w14:paraId="55DE8306" w14:textId="77777777" w:rsidTr="00051EAE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0526429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3D95C41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B4D78B" w14:textId="409A0ADC" w:rsidR="00F44D7A" w:rsidRDefault="00845A17" w:rsidP="00051EAE">
            <w:r>
              <w:t>PO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8BDD698" w14:textId="77777777" w:rsidR="00F44D7A" w:rsidRDefault="00F44D7A" w:rsidP="00051EAE"/>
        </w:tc>
      </w:tr>
      <w:tr w:rsidR="00F44D7A" w14:paraId="54F86D0F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455560B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D2CE2B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3C3038" w14:textId="4BD7767B" w:rsidR="00F44D7A" w:rsidRPr="00A66187" w:rsidRDefault="00A66187" w:rsidP="00A66187">
            <w:pPr>
              <w:rPr>
                <w:rFonts w:ascii="AppleSystemUIFont" w:hAnsi="AppleSystemUIFont" w:cs="AppleSystemUIFont"/>
                <w:sz w:val="26"/>
                <w:szCs w:val="26"/>
              </w:rPr>
            </w:pPr>
            <w:r w:rsidRPr="00A66187">
              <w:t xml:space="preserve">Well absorbed PO, peak 1-2 </w:t>
            </w:r>
            <w:proofErr w:type="spellStart"/>
            <w:r w:rsidRPr="00A66187">
              <w:t>hr</w:t>
            </w:r>
            <w:proofErr w:type="spellEnd"/>
            <w:r w:rsidRPr="00A66187">
              <w:t xml:space="preserve">; del </w:t>
            </w:r>
            <w:proofErr w:type="spellStart"/>
            <w:r w:rsidRPr="00A66187">
              <w:t>rel</w:t>
            </w:r>
            <w:proofErr w:type="spellEnd"/>
            <w:r w:rsidRPr="00A66187">
              <w:t xml:space="preserve"> </w:t>
            </w:r>
            <w:r w:rsidRPr="00A66187">
              <w:t xml:space="preserve">peak 6-6½ </w:t>
            </w:r>
            <w:proofErr w:type="spellStart"/>
            <w:r w:rsidRPr="00A66187">
              <w:t>hr</w:t>
            </w:r>
            <w:proofErr w:type="spellEnd"/>
            <w:r w:rsidRPr="00A66187">
              <w:t xml:space="preserve">; half-life 3½-4 </w:t>
            </w:r>
            <w:proofErr w:type="spellStart"/>
            <w:r w:rsidRPr="00A66187">
              <w:t>hr</w:t>
            </w:r>
            <w:proofErr w:type="spellEnd"/>
            <w:r w:rsidRPr="00A66187">
              <w:t>, crosses</w:t>
            </w:r>
            <w:r w:rsidRPr="00A66187">
              <w:t xml:space="preserve"> </w:t>
            </w:r>
            <w:r w:rsidRPr="00A66187">
              <w:t>placenta, enters breast milk,</w:t>
            </w:r>
            <w:r w:rsidRPr="00A66187">
              <w:t xml:space="preserve"> </w:t>
            </w:r>
            <w:r w:rsidRPr="00A66187">
              <w:t>metabolized</w:t>
            </w:r>
            <w:r w:rsidRPr="00A66187">
              <w:t xml:space="preserve"> </w:t>
            </w:r>
            <w:r w:rsidRPr="00A66187">
              <w:t>by liver after conversion, excreted in urine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212C40F" w14:textId="77777777" w:rsidR="00F44D7A" w:rsidRDefault="00F44D7A" w:rsidP="00051EAE"/>
        </w:tc>
      </w:tr>
      <w:tr w:rsidR="00F44D7A" w14:paraId="22498237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97CAACB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B11F7D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852D8D7" w14:textId="1D31F219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Adrenal insufficiency:</w:t>
            </w:r>
            <w:r w:rsidRPr="00B8408B">
              <w:t xml:space="preserve"> nausea, vomiting, anorexia, confusion, hypotension,</w:t>
            </w:r>
            <w:r w:rsidRPr="00B8408B">
              <w:t xml:space="preserve"> </w:t>
            </w:r>
            <w:r w:rsidRPr="00B8408B">
              <w:t xml:space="preserve">weight loss </w:t>
            </w:r>
            <w:r w:rsidRPr="00B8408B">
              <w:t xml:space="preserve">before or during treatment, HPA </w:t>
            </w:r>
            <w:r w:rsidRPr="00B8408B">
              <w:t>suppression may be precipitated by</w:t>
            </w:r>
            <w:r w:rsidRPr="00B8408B">
              <w:t xml:space="preserve"> </w:t>
            </w:r>
            <w:r w:rsidRPr="00B8408B">
              <w:t>abrupt withdrawal</w:t>
            </w:r>
          </w:p>
          <w:p w14:paraId="0D6579A6" w14:textId="758E94C0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t>Potassium, blood glucose, urine glucos</w:t>
            </w:r>
            <w:r w:rsidRPr="00B8408B">
              <w:t>e</w:t>
            </w:r>
            <w:r w:rsidRPr="00B8408B">
              <w:t xml:space="preserve"> while patient receiving long-term</w:t>
            </w:r>
            <w:r w:rsidRPr="00B8408B">
              <w:t xml:space="preserve"> </w:t>
            </w:r>
            <w:r w:rsidRPr="00B8408B">
              <w:t>therapy; hypokalemia and hyperglycemia;</w:t>
            </w:r>
            <w:r w:rsidRPr="00B8408B">
              <w:t xml:space="preserve"> </w:t>
            </w:r>
            <w:r w:rsidRPr="00B8408B">
              <w:t>plasma</w:t>
            </w:r>
            <w:r w:rsidRPr="00B8408B">
              <w:t xml:space="preserve"> </w:t>
            </w:r>
            <w:r w:rsidRPr="00B8408B">
              <w:t>cortisol with long-term</w:t>
            </w:r>
            <w:r w:rsidRPr="00B8408B">
              <w:t xml:space="preserve"> </w:t>
            </w:r>
            <w:r w:rsidRPr="00B8408B">
              <w:t>therapy</w:t>
            </w:r>
          </w:p>
          <w:p w14:paraId="1B9B7F17" w14:textId="7CE13728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Weight daily</w:t>
            </w:r>
            <w:r w:rsidRPr="00B8408B">
              <w:rPr>
                <w:b/>
                <w:bCs/>
              </w:rPr>
              <w:t xml:space="preserve">: </w:t>
            </w:r>
            <w:r w:rsidRPr="00B8408B">
              <w:t>notify prescriber of</w:t>
            </w:r>
            <w:r w:rsidRPr="00B8408B">
              <w:t xml:space="preserve"> </w:t>
            </w:r>
            <w:r w:rsidRPr="00B8408B">
              <w:t xml:space="preserve">weekly gain of &gt;5 </w:t>
            </w:r>
            <w:proofErr w:type="spellStart"/>
            <w:r w:rsidRPr="00B8408B">
              <w:t>lb</w:t>
            </w:r>
            <w:proofErr w:type="spellEnd"/>
          </w:p>
          <w:p w14:paraId="2282C9ED" w14:textId="4DD6BFD0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B/P, pulse</w:t>
            </w:r>
            <w:r w:rsidRPr="00B8408B">
              <w:rPr>
                <w:b/>
                <w:bCs/>
              </w:rPr>
              <w:t>:</w:t>
            </w:r>
            <w:r w:rsidRPr="00B8408B">
              <w:t xml:space="preserve"> notify prescriber of chest pain;</w:t>
            </w:r>
            <w:r w:rsidRPr="00B8408B">
              <w:t xml:space="preserve"> </w:t>
            </w:r>
            <w:r w:rsidRPr="00B8408B">
              <w:t>monitor for crackles, dyspnea if edema is</w:t>
            </w:r>
            <w:r w:rsidRPr="00B8408B">
              <w:t xml:space="preserve"> </w:t>
            </w:r>
            <w:r w:rsidRPr="00B8408B">
              <w:t>present; hypertension, cardiac</w:t>
            </w:r>
            <w:r w:rsidRPr="00B8408B">
              <w:t xml:space="preserve"> </w:t>
            </w:r>
            <w:r w:rsidRPr="00B8408B">
              <w:t>symptoms</w:t>
            </w:r>
          </w:p>
          <w:p w14:paraId="25A94E51" w14:textId="0242F56F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I&amp;</w:t>
            </w:r>
            <w:r>
              <w:rPr>
                <w:b/>
                <w:bCs/>
              </w:rPr>
              <w:t>O</w:t>
            </w:r>
            <w:r w:rsidRPr="00B8408B">
              <w:rPr>
                <w:b/>
                <w:bCs/>
              </w:rPr>
              <w:t xml:space="preserve"> ratio</w:t>
            </w:r>
            <w:r w:rsidRPr="00B8408B">
              <w:rPr>
                <w:b/>
                <w:bCs/>
              </w:rPr>
              <w:t>:</w:t>
            </w:r>
            <w:r w:rsidRPr="00B8408B">
              <w:t xml:space="preserve"> be alert for decreasing urinary output, increasing edema, rales,</w:t>
            </w:r>
            <w:r w:rsidRPr="00B8408B">
              <w:t xml:space="preserve"> </w:t>
            </w:r>
            <w:r w:rsidRPr="00B8408B">
              <w:t>crackles; notify provider if present</w:t>
            </w:r>
          </w:p>
          <w:p w14:paraId="64C70CED" w14:textId="3CD15318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Infection:</w:t>
            </w:r>
            <w:r w:rsidRPr="00B8408B">
              <w:t xml:space="preserve"> increased</w:t>
            </w:r>
            <w:r w:rsidRPr="00B8408B">
              <w:t xml:space="preserve"> </w:t>
            </w:r>
            <w:r w:rsidRPr="00B8408B">
              <w:t>temperature,</w:t>
            </w:r>
            <w:r w:rsidRPr="00B8408B">
              <w:t xml:space="preserve"> </w:t>
            </w:r>
            <w:r w:rsidRPr="00B8408B">
              <w:t>WBC, even after withdrawal of medication; product masks infection</w:t>
            </w:r>
          </w:p>
          <w:p w14:paraId="1E2F4DF9" w14:textId="23F8C24F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Potassium depletion:</w:t>
            </w:r>
            <w:r w:rsidRPr="00B8408B">
              <w:t xml:space="preserve"> </w:t>
            </w:r>
            <w:r w:rsidRPr="00B8408B">
              <w:t>paresthesia</w:t>
            </w:r>
            <w:r w:rsidRPr="00B8408B">
              <w:t>, fatigue, nausea, vomiting, depression,</w:t>
            </w:r>
            <w:r w:rsidRPr="00B8408B">
              <w:t xml:space="preserve"> </w:t>
            </w:r>
            <w:r w:rsidRPr="00B8408B">
              <w:t>polyuria, dysrhythmias, weakness</w:t>
            </w:r>
          </w:p>
          <w:p w14:paraId="7DF4CA06" w14:textId="5BBEA9C4" w:rsidR="00B8408B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Mental status</w:t>
            </w:r>
            <w:r w:rsidRPr="00B8408B">
              <w:t>: affect, mood, behavioral</w:t>
            </w:r>
            <w:r w:rsidRPr="00B8408B">
              <w:t xml:space="preserve"> </w:t>
            </w:r>
            <w:r w:rsidRPr="00B8408B">
              <w:t>changes, aggression</w:t>
            </w:r>
          </w:p>
          <w:p w14:paraId="4BB2F739" w14:textId="77777777" w:rsid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Pregnancy/breastfeeding:</w:t>
            </w:r>
            <w:r w:rsidRPr="00B8408B">
              <w:t xml:space="preserve"> use only if</w:t>
            </w:r>
            <w:r w:rsidRPr="00B8408B">
              <w:t xml:space="preserve"> </w:t>
            </w:r>
            <w:r w:rsidRPr="00B8408B">
              <w:t>benefits outweigh fetal risk; do not</w:t>
            </w:r>
            <w:r w:rsidRPr="00B8408B">
              <w:t xml:space="preserve"> </w:t>
            </w:r>
            <w:r w:rsidRPr="00B8408B">
              <w:t>breastfeed</w:t>
            </w:r>
          </w:p>
          <w:p w14:paraId="0C11CDEA" w14:textId="30D3E2DD" w:rsidR="00F44D7A" w:rsidRPr="00B8408B" w:rsidRDefault="00B8408B" w:rsidP="00B8408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B8408B">
              <w:rPr>
                <w:b/>
                <w:bCs/>
              </w:rPr>
              <w:t>Beers:</w:t>
            </w:r>
            <w:r w:rsidRPr="00B8408B">
              <w:t xml:space="preserve"> avoid in older adults with a high</w:t>
            </w:r>
            <w:r w:rsidRPr="00B8408B">
              <w:t xml:space="preserve"> </w:t>
            </w:r>
            <w:r w:rsidRPr="00B8408B">
              <w:t>risk of delirium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21532C5" w14:textId="77777777" w:rsidR="00F44D7A" w:rsidRDefault="00F44D7A" w:rsidP="00051EAE"/>
        </w:tc>
      </w:tr>
      <w:tr w:rsidR="00F44D7A" w14:paraId="461DE732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91538DD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338207" w14:textId="77777777" w:rsidR="00F44D7A" w:rsidRPr="00115E9A" w:rsidRDefault="00F44D7A" w:rsidP="00051E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02714AD" w14:textId="0BE9E6B6" w:rsidR="00A66187" w:rsidRPr="00A66187" w:rsidRDefault="00A66187" w:rsidP="00A66187">
            <w:r w:rsidRPr="00A66187">
              <w:rPr>
                <w:b/>
                <w:bCs/>
              </w:rPr>
              <w:t>CNS:</w:t>
            </w:r>
            <w:r w:rsidRPr="00A66187">
              <w:t xml:space="preserve"> Depression, flushing, sweating,</w:t>
            </w:r>
            <w:r w:rsidRPr="00A66187">
              <w:t xml:space="preserve"> </w:t>
            </w:r>
            <w:r w:rsidRPr="00A66187">
              <w:t>headache, mood changes</w:t>
            </w:r>
          </w:p>
          <w:p w14:paraId="33AF16F3" w14:textId="35806869" w:rsidR="00A66187" w:rsidRPr="00A66187" w:rsidRDefault="00A66187" w:rsidP="00A66187">
            <w:r w:rsidRPr="00A66187">
              <w:rPr>
                <w:b/>
                <w:bCs/>
              </w:rPr>
              <w:t>CV:</w:t>
            </w:r>
            <w:r w:rsidRPr="00A66187">
              <w:t xml:space="preserve"> </w:t>
            </w:r>
            <w:r w:rsidRPr="00A66187">
              <w:t>Hypertension,</w:t>
            </w:r>
            <w:r w:rsidRPr="00A66187">
              <w:t xml:space="preserve"> </w:t>
            </w:r>
            <w:r w:rsidRPr="00A66187">
              <w:t>thrombophlebitis,</w:t>
            </w:r>
            <w:r w:rsidRPr="00A66187">
              <w:t xml:space="preserve"> </w:t>
            </w:r>
            <w:r w:rsidRPr="00A66187">
              <w:t>embolism, tachycardia, fluid retention</w:t>
            </w:r>
          </w:p>
          <w:p w14:paraId="0ABA4D9F" w14:textId="08AE8518" w:rsidR="00A66187" w:rsidRPr="00A66187" w:rsidRDefault="00A66187" w:rsidP="00A66187">
            <w:r>
              <w:rPr>
                <w:b/>
                <w:bCs/>
              </w:rPr>
              <w:t>E</w:t>
            </w:r>
            <w:r w:rsidRPr="00A66187">
              <w:rPr>
                <w:b/>
                <w:bCs/>
              </w:rPr>
              <w:t>ENT:</w:t>
            </w:r>
            <w:r w:rsidRPr="00A66187">
              <w:t xml:space="preserve"> Fungal infections, increased intraocular pressure, blurred vision</w:t>
            </w:r>
          </w:p>
          <w:p w14:paraId="65B05E31" w14:textId="2C481FE3" w:rsidR="00A66187" w:rsidRPr="00A66187" w:rsidRDefault="00A66187" w:rsidP="00A66187">
            <w:r w:rsidRPr="00A66187">
              <w:rPr>
                <w:b/>
                <w:bCs/>
              </w:rPr>
              <w:t>GI:</w:t>
            </w:r>
            <w:r w:rsidRPr="00A66187">
              <w:t xml:space="preserve"> Diarrhea, nausea, abdominal distention, </w:t>
            </w:r>
            <w:proofErr w:type="spellStart"/>
            <w:r w:rsidRPr="00A66187">
              <w:t>Gl</w:t>
            </w:r>
            <w:proofErr w:type="spellEnd"/>
            <w:r w:rsidRPr="00A66187">
              <w:t xml:space="preserve"> hemorrhage, increased appetite,</w:t>
            </w:r>
            <w:r w:rsidRPr="00A66187">
              <w:t xml:space="preserve"> </w:t>
            </w:r>
            <w:r w:rsidRPr="00A66187">
              <w:t>pancreatitis</w:t>
            </w:r>
          </w:p>
          <w:p w14:paraId="20C07352" w14:textId="113545F0" w:rsidR="00A66187" w:rsidRPr="00A66187" w:rsidRDefault="00A66187" w:rsidP="00A66187">
            <w:r w:rsidRPr="00A66187">
              <w:rPr>
                <w:b/>
                <w:bCs/>
              </w:rPr>
              <w:t>INTEG:</w:t>
            </w:r>
            <w:r w:rsidRPr="00A66187">
              <w:t xml:space="preserve"> Acne, poor wound healing,</w:t>
            </w:r>
            <w:r w:rsidRPr="00A66187">
              <w:t xml:space="preserve"> </w:t>
            </w:r>
            <w:r w:rsidRPr="00A66187">
              <w:t>ecchymosis, petechiae</w:t>
            </w:r>
          </w:p>
          <w:p w14:paraId="1214CDB5" w14:textId="77777777" w:rsidR="00A66187" w:rsidRPr="00A66187" w:rsidRDefault="00A66187" w:rsidP="00A66187">
            <w:r w:rsidRPr="00A66187">
              <w:rPr>
                <w:b/>
                <w:bCs/>
              </w:rPr>
              <w:t xml:space="preserve">META: </w:t>
            </w:r>
            <w:r w:rsidRPr="00A66187">
              <w:t>Hyperglycemia</w:t>
            </w:r>
          </w:p>
          <w:p w14:paraId="43246614" w14:textId="77777777" w:rsidR="00A66187" w:rsidRPr="00A66187" w:rsidRDefault="00A66187" w:rsidP="00A66187">
            <w:r w:rsidRPr="00A66187">
              <w:rPr>
                <w:b/>
                <w:bCs/>
              </w:rPr>
              <w:t>MS:</w:t>
            </w:r>
            <w:r w:rsidRPr="00A66187">
              <w:t xml:space="preserve"> Fractures, osteoporosis, weakness</w:t>
            </w:r>
          </w:p>
          <w:p w14:paraId="4CB52E48" w14:textId="43C8C807" w:rsidR="00F44D7A" w:rsidRPr="00A66187" w:rsidRDefault="00A66187" w:rsidP="00A66187">
            <w:pPr>
              <w:rPr>
                <w:rFonts w:ascii="AppleSystemUIFont" w:hAnsi="AppleSystemUIFont" w:cs="AppleSystemUIFont"/>
                <w:sz w:val="26"/>
                <w:szCs w:val="26"/>
              </w:rPr>
            </w:pPr>
            <w:r w:rsidRPr="00A66187">
              <w:rPr>
                <w:b/>
                <w:bCs/>
              </w:rPr>
              <w:t>MISC:</w:t>
            </w:r>
            <w:r w:rsidRPr="00A66187">
              <w:t xml:space="preserve"> Decreased immune response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DBD66CE" w14:textId="77777777" w:rsidR="00F44D7A" w:rsidRDefault="00F44D7A" w:rsidP="00051EAE"/>
        </w:tc>
      </w:tr>
      <w:tr w:rsidR="00F44D7A" w14:paraId="58CD1C60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43B3465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55C840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526BE72" w14:textId="747D1268" w:rsidR="00A66187" w:rsidRPr="00A66187" w:rsidRDefault="00A66187" w:rsidP="00A66187">
            <w:r w:rsidRPr="00A66187">
              <w:t>Fungal</w:t>
            </w:r>
            <w:r w:rsidRPr="00A66187">
              <w:t xml:space="preserve"> </w:t>
            </w:r>
            <w:r w:rsidRPr="00A66187">
              <w:t>infections, hypersensitivity</w:t>
            </w:r>
          </w:p>
          <w:p w14:paraId="6BF03CFA" w14:textId="0F939961" w:rsidR="00F44D7A" w:rsidRDefault="00A66187" w:rsidP="00A66187">
            <w:r w:rsidRPr="00A66187">
              <w:rPr>
                <w:b/>
                <w:bCs/>
              </w:rPr>
              <w:t xml:space="preserve">Precautions: </w:t>
            </w:r>
            <w:r w:rsidRPr="00A66187">
              <w:t>Pregnancy, diabetes mellitus,</w:t>
            </w:r>
            <w:r w:rsidRPr="00A66187">
              <w:t xml:space="preserve"> </w:t>
            </w:r>
            <w:r w:rsidRPr="00A66187">
              <w:t>glaucoma,</w:t>
            </w:r>
            <w:r w:rsidRPr="00A66187">
              <w:t xml:space="preserve"> </w:t>
            </w:r>
            <w:r w:rsidRPr="00A66187">
              <w:t>osteoporosis,</w:t>
            </w:r>
            <w:r w:rsidRPr="00A66187">
              <w:t xml:space="preserve"> </w:t>
            </w:r>
            <w:r w:rsidRPr="00A66187">
              <w:t>seizure disorders, ulcerative colitis, HE, myasthenia gravis, renal disease, esophagitis,</w:t>
            </w:r>
            <w:r w:rsidRPr="00A66187">
              <w:t xml:space="preserve"> </w:t>
            </w:r>
            <w:r w:rsidRPr="00A66187">
              <w:t>peptic ulcer, cataracts, coagulopathy,</w:t>
            </w:r>
            <w:r w:rsidRPr="00A66187">
              <w:t xml:space="preserve"> </w:t>
            </w:r>
            <w:r w:rsidRPr="00A66187">
              <w:t>abrupt discontinuation, children, corticosteroid hypersensitivity, Cushing syndrome, diabetes mellitus, ulcerative colitis, thromboembolism, geriatric patients,</w:t>
            </w:r>
            <w:r w:rsidRPr="00A66187">
              <w:t xml:space="preserve"> </w:t>
            </w:r>
            <w:r w:rsidRPr="00A66187">
              <w:t>acute MI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A603B3A" w14:textId="77777777" w:rsidR="00F44D7A" w:rsidRDefault="00F44D7A" w:rsidP="00051EAE"/>
        </w:tc>
      </w:tr>
      <w:tr w:rsidR="00F44D7A" w14:paraId="3E657E0B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FC675E7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A5EF65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AF356A7" w14:textId="6CB86999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That emergency ID as corticosteroid</w:t>
            </w:r>
            <w:r w:rsidRPr="00A66187">
              <w:t xml:space="preserve"> </w:t>
            </w:r>
            <w:r w:rsidRPr="00A66187">
              <w:t>user should be carried; provide information about product being taken and</w:t>
            </w:r>
            <w:r w:rsidRPr="00A66187">
              <w:t xml:space="preserve"> </w:t>
            </w:r>
            <w:r w:rsidRPr="00A66187">
              <w:t>condition</w:t>
            </w:r>
          </w:p>
          <w:p w14:paraId="6F948A0E" w14:textId="52B37086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To notify prescriber if therapeutic response decreases; that dosage adjustment may be needed</w:t>
            </w:r>
          </w:p>
          <w:p w14:paraId="308120EA" w14:textId="78B13365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To avoid vaccinations</w:t>
            </w:r>
          </w:p>
          <w:p w14:paraId="61790255" w14:textId="378901F0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Not to discontinue abruptly; adrenal</w:t>
            </w:r>
            <w:r w:rsidRPr="00A66187">
              <w:t xml:space="preserve"> </w:t>
            </w:r>
            <w:r w:rsidRPr="00A66187">
              <w:t>crisis can result</w:t>
            </w:r>
          </w:p>
          <w:p w14:paraId="3CDB08D1" w14:textId="2EBF7EE8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To avoid OTC products: salicylates,</w:t>
            </w:r>
            <w:r w:rsidRPr="00A66187">
              <w:t xml:space="preserve"> </w:t>
            </w:r>
            <w:r w:rsidRPr="00A66187">
              <w:t>cough products with alcohol, cold preparations unless directed by prescriber</w:t>
            </w:r>
          </w:p>
          <w:p w14:paraId="603DF643" w14:textId="4B10678E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lastRenderedPageBreak/>
              <w:t>Cushingoid symptoms: moon face,</w:t>
            </w:r>
            <w:r w:rsidRPr="00A66187">
              <w:t xml:space="preserve"> </w:t>
            </w:r>
            <w:r w:rsidRPr="00A66187">
              <w:t>weight gain; symptoms of adrenal insufficiency: nausea, anorexia, fatigue, dizziness, dyspnea, weakness, joint pain</w:t>
            </w:r>
          </w:p>
          <w:p w14:paraId="0B824B9B" w14:textId="37A1BEC7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That product causes immunosuppression; to report any symptoms of infection</w:t>
            </w:r>
            <w:r w:rsidRPr="00A66187">
              <w:t xml:space="preserve"> </w:t>
            </w:r>
            <w:r w:rsidRPr="00A66187">
              <w:t>(fever, sore throat, cough)</w:t>
            </w:r>
          </w:p>
          <w:p w14:paraId="209B2CC9" w14:textId="06B60B9E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To notify provider before surgery</w:t>
            </w:r>
          </w:p>
          <w:p w14:paraId="56B21BB0" w14:textId="19F05A42" w:rsidR="00A66187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That continuing follow-up and bloodwork will be needed</w:t>
            </w:r>
          </w:p>
          <w:p w14:paraId="0638D9C2" w14:textId="77777777" w:rsid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That antidiabetic agents may need adjustment in diabetic patients</w:t>
            </w:r>
          </w:p>
          <w:p w14:paraId="77DDAC50" w14:textId="2A7FDC72" w:rsidR="00F44D7A" w:rsidRPr="00A66187" w:rsidRDefault="00A66187" w:rsidP="00A661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66187">
              <w:t>Pregnancy: to notify prescriber if</w:t>
            </w:r>
            <w:r w:rsidRPr="00A66187">
              <w:t xml:space="preserve"> </w:t>
            </w:r>
            <w:r w:rsidRPr="00A66187">
              <w:t>pregnancy is planned or suspected; cleft</w:t>
            </w:r>
            <w:r w:rsidRPr="00A66187">
              <w:t xml:space="preserve"> </w:t>
            </w:r>
            <w:r w:rsidRPr="00A66187">
              <w:t>palate, stillbirth, abortion reported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E2862DD" w14:textId="77777777" w:rsidR="00F44D7A" w:rsidRDefault="00F44D7A" w:rsidP="00051EAE"/>
        </w:tc>
      </w:tr>
      <w:tr w:rsidR="00F44D7A" w14:paraId="5F65B1B4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6A149F5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9F0D4E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CE1FE2" w14:textId="19F7E78D" w:rsidR="00F44D7A" w:rsidRDefault="00845A17" w:rsidP="00051EAE">
            <w:r>
              <w:t>Do not confuse for methylprednisolone/prednisolone/Prilosec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2AA03EE" w14:textId="77777777" w:rsidR="00F44D7A" w:rsidRDefault="00F44D7A" w:rsidP="00051EAE"/>
        </w:tc>
      </w:tr>
      <w:tr w:rsidR="00F44D7A" w:rsidRPr="004109DF" w14:paraId="6BF402A3" w14:textId="77777777" w:rsidTr="00051EAE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5F23FA" w14:textId="77777777" w:rsidR="00F44D7A" w:rsidRPr="004109DF" w:rsidRDefault="00F44D7A" w:rsidP="00051EAE"/>
        </w:tc>
      </w:tr>
    </w:tbl>
    <w:p w14:paraId="790FDFCA" w14:textId="77777777" w:rsidR="0048006D" w:rsidRDefault="0048006D"/>
    <w:sectPr w:rsidR="0048006D" w:rsidSect="00F44D7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0C1"/>
    <w:multiLevelType w:val="hybridMultilevel"/>
    <w:tmpl w:val="3AB0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6EBD"/>
    <w:multiLevelType w:val="hybridMultilevel"/>
    <w:tmpl w:val="1C0EAD88"/>
    <w:lvl w:ilvl="0" w:tplc="CD42D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3004E"/>
    <w:multiLevelType w:val="hybridMultilevel"/>
    <w:tmpl w:val="6C60402E"/>
    <w:lvl w:ilvl="0" w:tplc="CD42D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A4BE9"/>
    <w:multiLevelType w:val="hybridMultilevel"/>
    <w:tmpl w:val="CDBE7C56"/>
    <w:lvl w:ilvl="0" w:tplc="CD42D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19270">
    <w:abstractNumId w:val="0"/>
  </w:num>
  <w:num w:numId="2" w16cid:durableId="1704011784">
    <w:abstractNumId w:val="2"/>
  </w:num>
  <w:num w:numId="3" w16cid:durableId="1668558311">
    <w:abstractNumId w:val="1"/>
  </w:num>
  <w:num w:numId="4" w16cid:durableId="81291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A"/>
    <w:rsid w:val="00376604"/>
    <w:rsid w:val="0048006D"/>
    <w:rsid w:val="0059602B"/>
    <w:rsid w:val="00657CE4"/>
    <w:rsid w:val="00845A17"/>
    <w:rsid w:val="008F2F7B"/>
    <w:rsid w:val="00A66187"/>
    <w:rsid w:val="00A94028"/>
    <w:rsid w:val="00AC5328"/>
    <w:rsid w:val="00B8408B"/>
    <w:rsid w:val="00DE18A5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87A73"/>
  <w15:chartTrackingRefBased/>
  <w15:docId w15:val="{4C8BA417-B6AF-7841-BFC2-D32C6A90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8B"/>
    <w:rPr>
      <w:rFonts w:ascii="Calibri" w:hAnsi="Calibr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D7A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D7A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D7A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7A"/>
    <w:rPr>
      <w:rFonts w:asciiTheme="majorHAnsi" w:eastAsia="Times New Roman" w:hAnsiTheme="majorHAnsi" w:cs="Tahoma"/>
      <w:b/>
      <w:color w:val="FFFFFF" w:themeColor="background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4D7A"/>
    <w:rPr>
      <w:rFonts w:asciiTheme="majorHAnsi" w:hAnsiTheme="majorHAnsi"/>
      <w:b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D7A"/>
    <w:rPr>
      <w:rFonts w:asciiTheme="majorHAnsi" w:hAnsiTheme="majorHAnsi"/>
      <w:b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44D7A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6</cp:revision>
  <dcterms:created xsi:type="dcterms:W3CDTF">2022-05-02T14:30:00Z</dcterms:created>
  <dcterms:modified xsi:type="dcterms:W3CDTF">2022-05-02T15:06:00Z</dcterms:modified>
</cp:coreProperties>
</file>