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723F41" w:rsidRPr="001D5A88" w14:paraId="1F5B2909" w14:textId="77777777" w:rsidTr="00856D18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4ECE6B2" w14:textId="77777777" w:rsidR="00723F41" w:rsidRPr="001D5A88" w:rsidRDefault="00723F41" w:rsidP="00856D18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>
              <w:rPr>
                <w:sz w:val="24"/>
                <w:szCs w:val="24"/>
              </w:rPr>
              <w:t xml:space="preserve"> </w:t>
            </w:r>
            <w:r w:rsidRPr="004E53A9">
              <w:rPr>
                <w:sz w:val="24"/>
                <w:szCs w:val="24"/>
              </w:rPr>
              <w:t>Atorvastatin</w:t>
            </w:r>
            <w:r>
              <w:rPr>
                <w:sz w:val="24"/>
                <w:szCs w:val="24"/>
              </w:rPr>
              <w:t xml:space="preserve"> (Lipitor)</w:t>
            </w:r>
          </w:p>
        </w:tc>
      </w:tr>
      <w:tr w:rsidR="00723F41" w:rsidRPr="00E17A5C" w14:paraId="0B173934" w14:textId="77777777" w:rsidTr="00856D18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42071B" w14:textId="77777777" w:rsidR="00723F41" w:rsidRPr="00E17A5C" w:rsidRDefault="00723F41" w:rsidP="00856D18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r w:rsidRPr="00587BAA">
              <w:rPr>
                <w:i/>
                <w:iCs/>
                <w:sz w:val="22"/>
                <w:szCs w:val="22"/>
              </w:rPr>
              <w:t>Func. Class:</w:t>
            </w:r>
            <w:r>
              <w:rPr>
                <w:i/>
                <w:iCs/>
                <w:sz w:val="22"/>
                <w:szCs w:val="22"/>
              </w:rPr>
              <w:t xml:space="preserve"> Antilipidemic</w:t>
            </w:r>
            <w:r w:rsidRPr="00587BAA">
              <w:rPr>
                <w:i/>
                <w:iCs/>
                <w:sz w:val="22"/>
                <w:szCs w:val="22"/>
              </w:rPr>
              <w:t>; Chem. Class:</w:t>
            </w:r>
            <w:r>
              <w:rPr>
                <w:i/>
                <w:iCs/>
                <w:sz w:val="22"/>
                <w:szCs w:val="22"/>
              </w:rPr>
              <w:t xml:space="preserve"> HMG-CoA reductase inhibitor (statin)</w:t>
            </w:r>
          </w:p>
        </w:tc>
      </w:tr>
      <w:tr w:rsidR="00723F41" w14:paraId="52E9561A" w14:textId="77777777" w:rsidTr="00856D18">
        <w:trPr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14FA41AE" w14:textId="77777777" w:rsidR="00723F41" w:rsidRDefault="00723F41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FB6761E" w14:textId="77777777" w:rsidR="00723F41" w:rsidRPr="00115E9A" w:rsidRDefault="00723F41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5DE48CB" w14:textId="77777777" w:rsidR="00723F41" w:rsidRPr="00FF4193" w:rsidRDefault="00723F41" w:rsidP="00856D18">
            <w:r>
              <w:rPr>
                <w:b/>
                <w:bCs/>
              </w:rPr>
              <w:t>Action:</w:t>
            </w:r>
            <w:r>
              <w:t xml:space="preserve"> inhibits HMG-CoA reductase enzyme, which reduces cholesterol synthesis; high doses lead to plaque regression</w:t>
            </w:r>
          </w:p>
          <w:p w14:paraId="6B9B832A" w14:textId="77777777" w:rsidR="00723F41" w:rsidRPr="00FF4193" w:rsidRDefault="00723F41" w:rsidP="00856D18">
            <w:r>
              <w:rPr>
                <w:b/>
                <w:bCs/>
              </w:rPr>
              <w:t xml:space="preserve">USES: </w:t>
            </w:r>
            <w:r>
              <w:t xml:space="preserve">as adjunct for primary hypercholesterolemia (types 1a, 1b), dysbetali-poproteinemia, elevated triglyceride levels, prevention of CV disease by reduction of heart risk in those with </w:t>
            </w:r>
            <w:proofErr w:type="spellStart"/>
            <w:r>
              <w:t>midly</w:t>
            </w:r>
            <w:proofErr w:type="spellEnd"/>
            <w:r>
              <w:t xml:space="preserve"> elevated cholesterol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803BFFE" w14:textId="77777777" w:rsidR="00723F41" w:rsidRDefault="00723F41" w:rsidP="00856D18"/>
        </w:tc>
      </w:tr>
      <w:tr w:rsidR="00723F41" w14:paraId="2A9F01A0" w14:textId="77777777" w:rsidTr="00856D18">
        <w:trPr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C9913B0" w14:textId="77777777" w:rsidR="00723F41" w:rsidRDefault="00723F41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7952485" w14:textId="77777777" w:rsidR="00723F41" w:rsidRPr="00115E9A" w:rsidRDefault="00723F41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FA6FD80" w14:textId="77777777" w:rsidR="00723F41" w:rsidRPr="00521A92" w:rsidRDefault="00723F41" w:rsidP="00856D18">
            <w:r>
              <w:t>PO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457E2A7" w14:textId="77777777" w:rsidR="00723F41" w:rsidRDefault="00723F41" w:rsidP="00856D18"/>
        </w:tc>
      </w:tr>
      <w:tr w:rsidR="00723F41" w14:paraId="36D02B78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310E329D" w14:textId="77777777" w:rsidR="00723F41" w:rsidRDefault="00723F41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8B88290" w14:textId="77777777" w:rsidR="00723F41" w:rsidRPr="00115E9A" w:rsidRDefault="00723F41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9757367" w14:textId="77777777" w:rsidR="00723F41" w:rsidRDefault="00723F41" w:rsidP="00856D18">
            <w:r>
              <w:t>Peak 1-2 hours, metabolized in liver, highly protein-bound, excreted primarily in urine, half-life 14 hours, protein binding 98%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9D90CE3" w14:textId="77777777" w:rsidR="00723F41" w:rsidRDefault="00723F41" w:rsidP="00856D18"/>
        </w:tc>
      </w:tr>
      <w:tr w:rsidR="00723F41" w14:paraId="6525E1A1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6B206D9D" w14:textId="77777777" w:rsidR="00723F41" w:rsidRDefault="00723F41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61A03C4" w14:textId="77777777" w:rsidR="00723F41" w:rsidRPr="00115E9A" w:rsidRDefault="00723F41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F0F470D" w14:textId="77777777" w:rsidR="00723F41" w:rsidRPr="00C53178" w:rsidRDefault="00723F41" w:rsidP="00856D18">
            <w:r>
              <w:rPr>
                <w:b/>
                <w:bCs/>
              </w:rPr>
              <w:t>Hypercholesterolemia:</w:t>
            </w:r>
            <w:r>
              <w:t xml:space="preserve"> diet, obtain diet history including fat, cholesterol in diet, cholesterol triglyceride levels periodically during treatment, check lipid panel 6-12 weeks after changing dose; </w:t>
            </w:r>
            <w:r>
              <w:rPr>
                <w:b/>
                <w:bCs/>
              </w:rPr>
              <w:t>Hepatic studies:</w:t>
            </w:r>
            <w:r>
              <w:t xml:space="preserve"> q1-2months at initiation, 6, 12 week after initiation or change in dose, periodically thereafter (AST, ALT, LFTs may be increased); </w:t>
            </w:r>
            <w:r>
              <w:rPr>
                <w:b/>
                <w:bCs/>
              </w:rPr>
              <w:t>Bowel status:</w:t>
            </w:r>
            <w:r>
              <w:t xml:space="preserve"> constipation, stool softeners may be needed, if severe add fiber and water to diet; </w:t>
            </w:r>
            <w:r>
              <w:rPr>
                <w:b/>
                <w:bCs/>
              </w:rPr>
              <w:t>Rhabdomyolysis:</w:t>
            </w:r>
            <w:r>
              <w:t xml:space="preserve"> for muscle pain, tenderness, obtain CPK baseline, if markedly increased, product may need to be discontinued, many drug interactions may increase possibility for this; </w:t>
            </w:r>
            <w:r>
              <w:rPr>
                <w:b/>
                <w:bCs/>
              </w:rPr>
              <w:t>Pregnancy/breastfeeding:</w:t>
            </w:r>
            <w:r>
              <w:t xml:space="preserve"> do not breastfeed of use in pregnancy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8259730" w14:textId="77777777" w:rsidR="00723F41" w:rsidRDefault="00723F41" w:rsidP="00856D18"/>
        </w:tc>
      </w:tr>
      <w:tr w:rsidR="00723F41" w14:paraId="5A25A763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94DCB7B" w14:textId="77777777" w:rsidR="00723F41" w:rsidRDefault="00723F41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8842066" w14:textId="77777777" w:rsidR="00723F41" w:rsidRPr="00115E9A" w:rsidRDefault="00723F41" w:rsidP="00856D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FDBC67E" w14:textId="77777777" w:rsidR="00723F41" w:rsidRDefault="00723F41" w:rsidP="00856D18">
            <w:r>
              <w:rPr>
                <w:b/>
                <w:bCs/>
              </w:rPr>
              <w:t>CNS:</w:t>
            </w:r>
            <w:r>
              <w:t xml:space="preserve"> headache, asthenia, insomnia</w:t>
            </w:r>
          </w:p>
          <w:p w14:paraId="6D5A96A7" w14:textId="77777777" w:rsidR="00723F41" w:rsidRDefault="00723F41" w:rsidP="00856D18">
            <w:r>
              <w:rPr>
                <w:b/>
                <w:bCs/>
              </w:rPr>
              <w:t>EENT:</w:t>
            </w:r>
            <w:r>
              <w:t xml:space="preserve"> lens opacities</w:t>
            </w:r>
          </w:p>
          <w:p w14:paraId="47527E6D" w14:textId="77777777" w:rsidR="00723F41" w:rsidRDefault="00723F41" w:rsidP="00856D18">
            <w:r>
              <w:rPr>
                <w:b/>
                <w:bCs/>
              </w:rPr>
              <w:t>GI:</w:t>
            </w:r>
            <w:r>
              <w:t xml:space="preserve"> abdominal cramps, constipation, diarrhea, flatus, heartburn, dyspepsia, liver dysfunction, pancreatitis, nausea, increased serum transaminase</w:t>
            </w:r>
          </w:p>
          <w:p w14:paraId="42C8FBE1" w14:textId="77777777" w:rsidR="00723F41" w:rsidRDefault="00723F41" w:rsidP="00856D18">
            <w:r>
              <w:rPr>
                <w:b/>
                <w:bCs/>
              </w:rPr>
              <w:t>GU:</w:t>
            </w:r>
            <w:r>
              <w:t xml:space="preserve"> impotence, UTI</w:t>
            </w:r>
          </w:p>
          <w:p w14:paraId="3373D03D" w14:textId="77777777" w:rsidR="00723F41" w:rsidRDefault="00723F41" w:rsidP="00856D18">
            <w:r>
              <w:rPr>
                <w:b/>
                <w:bCs/>
              </w:rPr>
              <w:t>INTEG:</w:t>
            </w:r>
            <w:r>
              <w:t xml:space="preserve"> rash</w:t>
            </w:r>
          </w:p>
          <w:p w14:paraId="7D088468" w14:textId="77777777" w:rsidR="00723F41" w:rsidRDefault="00723F41" w:rsidP="00856D18">
            <w:r>
              <w:rPr>
                <w:b/>
                <w:bCs/>
              </w:rPr>
              <w:t>MISC:</w:t>
            </w:r>
            <w:r>
              <w:t xml:space="preserve"> hypersensitivity, gynecomastia (child)</w:t>
            </w:r>
          </w:p>
          <w:p w14:paraId="4ACC783A" w14:textId="77777777" w:rsidR="00723F41" w:rsidRPr="00D04580" w:rsidRDefault="00723F41" w:rsidP="00856D18">
            <w:r>
              <w:rPr>
                <w:b/>
                <w:bCs/>
              </w:rPr>
              <w:t>MS:</w:t>
            </w:r>
            <w:r>
              <w:t xml:space="preserve"> arthralgia, myalgia, rhabdomyolysis, myositis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12D1905" w14:textId="77777777" w:rsidR="00723F41" w:rsidRDefault="00723F41" w:rsidP="00856D18"/>
        </w:tc>
      </w:tr>
      <w:tr w:rsidR="00723F41" w14:paraId="6DF2AC9C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193613F" w14:textId="77777777" w:rsidR="00723F41" w:rsidRDefault="00723F41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E069763" w14:textId="77777777" w:rsidR="00723F41" w:rsidRPr="00115E9A" w:rsidRDefault="00723F41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DEA8137" w14:textId="77777777" w:rsidR="00723F41" w:rsidRPr="00521A92" w:rsidRDefault="00723F41" w:rsidP="00856D18">
            <w:r>
              <w:t xml:space="preserve">Pregnancy, breastfeeding, hypersensitivity, active hepatic disease; </w:t>
            </w:r>
            <w:r>
              <w:rPr>
                <w:b/>
                <w:bCs/>
              </w:rPr>
              <w:t>Precautions:</w:t>
            </w:r>
            <w:r>
              <w:t xml:space="preserve"> previous hepatic disease, alcoholism, severe acute infections, trauma, severe metabolic disorders, electrolyte imbalance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86BE310" w14:textId="77777777" w:rsidR="00723F41" w:rsidRDefault="00723F41" w:rsidP="00856D18"/>
        </w:tc>
      </w:tr>
      <w:tr w:rsidR="00723F41" w14:paraId="0C2CAC27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11D4C7AC" w14:textId="77777777" w:rsidR="00723F41" w:rsidRDefault="00723F41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AFCD3A6" w14:textId="77777777" w:rsidR="00723F41" w:rsidRPr="00115E9A" w:rsidRDefault="00723F41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05049B1" w14:textId="77777777" w:rsidR="00723F41" w:rsidRPr="00D04580" w:rsidRDefault="00723F41" w:rsidP="00856D18">
            <w:r>
              <w:t xml:space="preserve">That compliance is needed for positive results to occur, not to skip or double dose; that blood work and eye exam will be necessary during treatment; to report blurred vision, severe GI symptoms, headache, muscle pain, and weakness; to avoid alcohol; that previously prescribed regimen will continue, low-cholesterol diet, exercise program, and smoking cessation; </w:t>
            </w:r>
            <w:r>
              <w:rPr>
                <w:b/>
                <w:bCs/>
              </w:rPr>
              <w:t>Pregnancy/breastfeeding:</w:t>
            </w:r>
            <w:r>
              <w:t xml:space="preserve"> identify if pregnancy is planned or suspected, or if breastfeeding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327E297" w14:textId="77777777" w:rsidR="00723F41" w:rsidRDefault="00723F41" w:rsidP="00856D18"/>
        </w:tc>
      </w:tr>
      <w:tr w:rsidR="00723F41" w14:paraId="27D82383" w14:textId="77777777" w:rsidTr="00856D18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28D4F9DC" w14:textId="77777777" w:rsidR="00723F41" w:rsidRDefault="00723F41" w:rsidP="00856D18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D822E6A" w14:textId="77777777" w:rsidR="00723F41" w:rsidRPr="00115E9A" w:rsidRDefault="00723F41" w:rsidP="00856D18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63B428B" w14:textId="77777777" w:rsidR="00723F41" w:rsidRDefault="00723F41" w:rsidP="00856D18"/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A74A484" w14:textId="77777777" w:rsidR="00723F41" w:rsidRDefault="00723F41" w:rsidP="00856D18"/>
        </w:tc>
      </w:tr>
      <w:tr w:rsidR="00723F41" w:rsidRPr="004109DF" w14:paraId="3CA5BAF0" w14:textId="77777777" w:rsidTr="00856D18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D71DFA" w14:textId="77777777" w:rsidR="00723F41" w:rsidRPr="004109DF" w:rsidRDefault="00723F41" w:rsidP="00856D18"/>
        </w:tc>
      </w:tr>
    </w:tbl>
    <w:p w14:paraId="157654C7" w14:textId="77777777" w:rsidR="0037024E" w:rsidRDefault="00723F41"/>
    <w:sectPr w:rsidR="0037024E" w:rsidSect="00723F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41"/>
    <w:rsid w:val="001B2E2A"/>
    <w:rsid w:val="00476AD1"/>
    <w:rsid w:val="00606885"/>
    <w:rsid w:val="00723F41"/>
    <w:rsid w:val="00AD42F9"/>
    <w:rsid w:val="00B13D99"/>
    <w:rsid w:val="00C24C41"/>
    <w:rsid w:val="00ED5BEF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DCAF7"/>
  <w14:defaultImageDpi w14:val="32767"/>
  <w15:chartTrackingRefBased/>
  <w15:docId w15:val="{E70CD8B8-36B3-9F48-BCE4-065C5B00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3F41"/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F41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F41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F41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F41"/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3F41"/>
    <w:rPr>
      <w:rFonts w:asciiTheme="majorHAnsi" w:hAnsiTheme="majorHAnsi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23F41"/>
    <w:rPr>
      <w:rFonts w:asciiTheme="majorHAnsi" w:hAnsiTheme="majorHAnsi"/>
      <w:b/>
      <w:sz w:val="18"/>
      <w:szCs w:val="18"/>
    </w:rPr>
  </w:style>
  <w:style w:type="table" w:styleId="TableGrid">
    <w:name w:val="Table Grid"/>
    <w:basedOn w:val="TableNormal"/>
    <w:uiPriority w:val="59"/>
    <w:rsid w:val="00723F41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Leckie</dc:creator>
  <cp:keywords/>
  <dc:description/>
  <cp:lastModifiedBy>Taylor Leckie</cp:lastModifiedBy>
  <cp:revision>1</cp:revision>
  <dcterms:created xsi:type="dcterms:W3CDTF">2022-05-02T03:25:00Z</dcterms:created>
  <dcterms:modified xsi:type="dcterms:W3CDTF">2022-05-02T03:25:00Z</dcterms:modified>
</cp:coreProperties>
</file>