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55"/>
        <w:tblW w:w="15568" w:type="dxa"/>
        <w:tblLayout w:type="fixed"/>
        <w:tblLook w:val="04A0" w:firstRow="1" w:lastRow="0" w:firstColumn="1" w:lastColumn="0" w:noHBand="0" w:noVBand="1"/>
      </w:tblPr>
      <w:tblGrid>
        <w:gridCol w:w="236"/>
        <w:gridCol w:w="2191"/>
        <w:gridCol w:w="12899"/>
        <w:gridCol w:w="242"/>
      </w:tblGrid>
      <w:tr w:rsidR="00771D91" w:rsidRPr="001D5A88" w14:paraId="5E5B6BF8" w14:textId="77777777" w:rsidTr="00051EAE">
        <w:trPr>
          <w:trHeight w:val="267"/>
        </w:trPr>
        <w:tc>
          <w:tcPr>
            <w:tcW w:w="155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013456E" w14:textId="77777777" w:rsidR="00771D91" w:rsidRPr="001D5A88" w:rsidRDefault="00771D91" w:rsidP="00051EAE">
            <w:pPr>
              <w:pStyle w:val="Heading1"/>
              <w:outlineLvl w:val="0"/>
              <w:rPr>
                <w:sz w:val="24"/>
                <w:szCs w:val="24"/>
                <w:lang w:val="en-CA"/>
              </w:rPr>
            </w:pPr>
            <w:r w:rsidRPr="00D82A9D">
              <w:rPr>
                <w:sz w:val="24"/>
                <w:szCs w:val="24"/>
              </w:rPr>
              <w:t>Generic &amp; Trade Name of Drug:</w:t>
            </w:r>
            <w:r>
              <w:rPr>
                <w:sz w:val="24"/>
                <w:szCs w:val="24"/>
              </w:rPr>
              <w:t xml:space="preserve"> </w:t>
            </w:r>
            <w:r w:rsidRPr="00F27080">
              <w:rPr>
                <w:sz w:val="24"/>
                <w:szCs w:val="24"/>
              </w:rPr>
              <w:t>Pantoprazole</w:t>
            </w:r>
          </w:p>
        </w:tc>
      </w:tr>
      <w:tr w:rsidR="00771D91" w:rsidRPr="00E17A5C" w14:paraId="536B2749" w14:textId="77777777" w:rsidTr="00051EAE">
        <w:trPr>
          <w:trHeight w:val="253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49EF38" w14:textId="77777777" w:rsidR="00771D91" w:rsidRPr="00E17A5C" w:rsidRDefault="00771D91" w:rsidP="00051EAE">
            <w:pPr>
              <w:pStyle w:val="Heading2"/>
              <w:outlineLvl w:val="1"/>
              <w:rPr>
                <w:i/>
                <w:iCs/>
                <w:sz w:val="22"/>
                <w:szCs w:val="22"/>
              </w:rPr>
            </w:pPr>
            <w:proofErr w:type="spellStart"/>
            <w:r w:rsidRPr="00587BAA">
              <w:rPr>
                <w:i/>
                <w:iCs/>
                <w:sz w:val="22"/>
                <w:szCs w:val="22"/>
              </w:rPr>
              <w:t>Func</w:t>
            </w:r>
            <w:proofErr w:type="spellEnd"/>
            <w:r w:rsidRPr="00587BAA">
              <w:rPr>
                <w:i/>
                <w:iCs/>
                <w:sz w:val="22"/>
                <w:szCs w:val="22"/>
              </w:rPr>
              <w:t>. Class: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27080">
              <w:rPr>
                <w:i/>
                <w:iCs/>
                <w:sz w:val="22"/>
                <w:szCs w:val="22"/>
              </w:rPr>
              <w:t>proton pump inhibitor</w:t>
            </w:r>
            <w:r w:rsidRPr="00587BAA">
              <w:rPr>
                <w:i/>
                <w:iCs/>
                <w:sz w:val="22"/>
                <w:szCs w:val="22"/>
              </w:rPr>
              <w:t xml:space="preserve">; Chem. Class: </w:t>
            </w:r>
            <w:r>
              <w:t xml:space="preserve"> </w:t>
            </w:r>
            <w:r w:rsidRPr="00F27080">
              <w:rPr>
                <w:i/>
                <w:iCs/>
                <w:sz w:val="22"/>
                <w:szCs w:val="22"/>
              </w:rPr>
              <w:t>Benzimidazole</w:t>
            </w:r>
          </w:p>
        </w:tc>
      </w:tr>
      <w:tr w:rsidR="00771D91" w14:paraId="165ED937" w14:textId="77777777" w:rsidTr="00051EAE">
        <w:trPr>
          <w:trHeight w:val="7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50CF03BE" w14:textId="77777777" w:rsidR="00771D91" w:rsidRDefault="00771D91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0CF8344" w14:textId="77777777" w:rsidR="00771D91" w:rsidRPr="00115E9A" w:rsidRDefault="00771D91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Indications/ Therapeutic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3EB891E" w14:textId="77777777" w:rsidR="00771D91" w:rsidRDefault="00771D91" w:rsidP="00051EAE">
            <w:r>
              <w:rPr>
                <w:b/>
                <w:bCs/>
              </w:rPr>
              <w:t xml:space="preserve">Action: </w:t>
            </w:r>
            <w:r w:rsidRPr="00F27080">
              <w:t>Suppresses gastric secretion by inhibiting hydrogen/potassium ATPase enzyme system in gastric parietal cell, characterized as gastric acid pump inhibitor because it blocks the final step of acid production</w:t>
            </w:r>
          </w:p>
          <w:p w14:paraId="1DF80D55" w14:textId="77777777" w:rsidR="00771D91" w:rsidRPr="00F27080" w:rsidRDefault="00771D91" w:rsidP="00051EAE">
            <w:r>
              <w:rPr>
                <w:b/>
                <w:bCs/>
              </w:rPr>
              <w:t xml:space="preserve">USES: </w:t>
            </w:r>
            <w:r w:rsidRPr="00F27080">
              <w:t>Gastroesophageal reflux disease (GERD), severe erosive esophagitis; maintenance of long-term pathologic hypersecretory conditions, including Zollinger-Ellison syndrome</w:t>
            </w:r>
            <w:r>
              <w:t xml:space="preserve">; </w:t>
            </w:r>
            <w:r w:rsidRPr="00F27080">
              <w:rPr>
                <w:b/>
                <w:bCs/>
              </w:rPr>
              <w:t>Unlabeled uses:</w:t>
            </w:r>
            <w:r w:rsidRPr="00F27080">
              <w:t xml:space="preserve"> Duodenal/gastric ulcer, NSAID ulcer prophylaxis, Helicobacter pylori-associated ulcer, dyspepsia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502429A7" w14:textId="77777777" w:rsidR="00771D91" w:rsidRDefault="00771D91" w:rsidP="00051EAE"/>
        </w:tc>
      </w:tr>
      <w:tr w:rsidR="00771D91" w14:paraId="4D8F02C0" w14:textId="77777777" w:rsidTr="00051EAE">
        <w:trPr>
          <w:trHeight w:val="30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4FBFDBE3" w14:textId="77777777" w:rsidR="00771D91" w:rsidRDefault="00771D91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E636331" w14:textId="77777777" w:rsidR="00771D91" w:rsidRPr="00115E9A" w:rsidRDefault="00771D91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Routes of Administration: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5E10C78" w14:textId="77777777" w:rsidR="00771D91" w:rsidRPr="00CD33BF" w:rsidRDefault="00771D91" w:rsidP="00051EAE">
            <w:pPr>
              <w:rPr>
                <w:i/>
                <w:iCs/>
              </w:rPr>
            </w:pPr>
            <w:r>
              <w:t xml:space="preserve">PO; IV; 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5A81DE0" w14:textId="77777777" w:rsidR="00771D91" w:rsidRDefault="00771D91" w:rsidP="00051EAE"/>
        </w:tc>
      </w:tr>
      <w:tr w:rsidR="00771D91" w14:paraId="02007371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02695AA4" w14:textId="77777777" w:rsidR="00771D91" w:rsidRDefault="00771D91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EC705B8" w14:textId="77777777" w:rsidR="00771D91" w:rsidRPr="00115E9A" w:rsidRDefault="00771D91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Pharmacokinetics: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43329E7" w14:textId="77777777" w:rsidR="00771D91" w:rsidRDefault="00771D91" w:rsidP="00051EAE">
            <w:r>
              <w:t xml:space="preserve"> Peak 2.4 </w:t>
            </w:r>
            <w:proofErr w:type="spellStart"/>
            <w:r>
              <w:t>hr</w:t>
            </w:r>
            <w:proofErr w:type="spellEnd"/>
            <w:r>
              <w:t xml:space="preserve">; duration &gt;24 </w:t>
            </w:r>
            <w:proofErr w:type="spellStart"/>
            <w:r>
              <w:t>hr</w:t>
            </w:r>
            <w:proofErr w:type="spellEnd"/>
            <w:r>
              <w:t xml:space="preserve">, half-life 1.5 </w:t>
            </w:r>
            <w:proofErr w:type="spellStart"/>
            <w:r>
              <w:t>hr</w:t>
            </w:r>
            <w:proofErr w:type="spellEnd"/>
            <w:r>
              <w:t>, protein binding 97% eliminated in urine as metabolites and in feces; in geriatric patients, elimination rate decreased; some Asian patients (15-20%) may be poor metabolizers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49DB6D64" w14:textId="77777777" w:rsidR="00771D91" w:rsidRDefault="00771D91" w:rsidP="00051EAE"/>
        </w:tc>
      </w:tr>
      <w:tr w:rsidR="00771D91" w14:paraId="60D655EA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66596EEB" w14:textId="77777777" w:rsidR="00771D91" w:rsidRDefault="00771D91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0012869" w14:textId="77777777" w:rsidR="00771D91" w:rsidRPr="00115E9A" w:rsidRDefault="00771D91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Nursing Implications/ Assessments: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777F201" w14:textId="77777777" w:rsidR="00771D91" w:rsidRPr="00DC7116" w:rsidRDefault="00771D91" w:rsidP="00051EAE">
            <w:r>
              <w:rPr>
                <w:b/>
                <w:bCs/>
              </w:rPr>
              <w:t>CDAD:</w:t>
            </w:r>
            <w:r>
              <w:t xml:space="preserve"> bowel sounds, abdomen for pain, swelling, anorexia, diarrhea with blood, mucus; </w:t>
            </w:r>
            <w:r>
              <w:rPr>
                <w:b/>
                <w:bCs/>
              </w:rPr>
              <w:t>Hepatic studies:</w:t>
            </w:r>
            <w:r>
              <w:t xml:space="preserve"> AST, ALT, </w:t>
            </w:r>
            <w:proofErr w:type="spellStart"/>
            <w:r>
              <w:t>alk</w:t>
            </w:r>
            <w:proofErr w:type="spellEnd"/>
            <w:r>
              <w:t xml:space="preserve"> </w:t>
            </w:r>
            <w:proofErr w:type="spellStart"/>
            <w:r>
              <w:t>phos</w:t>
            </w:r>
            <w:proofErr w:type="spellEnd"/>
            <w:r>
              <w:t xml:space="preserve"> during treatment; for vitamin B12 deficiency in patients receiving long-term therapy; </w:t>
            </w:r>
            <w:r>
              <w:rPr>
                <w:b/>
                <w:bCs/>
              </w:rPr>
              <w:t>Serious skin reactions:</w:t>
            </w:r>
            <w:r>
              <w:t xml:space="preserve"> toxic epidermal necrolysis, Stevens-Johnson syndrome, exfoliative dermatitis, fever, sore throat, fatigue, thin ulcers, lesions in the mouth, lips; </w:t>
            </w:r>
            <w:r>
              <w:rPr>
                <w:b/>
                <w:bCs/>
              </w:rPr>
              <w:t>Electrolyte imbalances:</w:t>
            </w:r>
            <w:r>
              <w:t xml:space="preserve"> hyponatremia, hypomagnesemia in patients using product 3 months to 1 year, if  hypomagnesemia occurs, use of magnesium supplements may be sufficient, if severe, discontinuation of product may be required; </w:t>
            </w:r>
            <w:r>
              <w:rPr>
                <w:b/>
                <w:bCs/>
              </w:rPr>
              <w:t>Rhabdomyolysis, myalgia:</w:t>
            </w:r>
            <w:r>
              <w:t xml:space="preserve"> muscle pain, increased CPK, weakness, swelling of affected muscles; </w:t>
            </w:r>
            <w:r>
              <w:rPr>
                <w:b/>
                <w:bCs/>
              </w:rPr>
              <w:t>Beers:</w:t>
            </w:r>
            <w:r>
              <w:t xml:space="preserve"> avoid in older adults for &gt;8 weeks unless for high-risk patients, risk of </w:t>
            </w:r>
            <w:r>
              <w:rPr>
                <w:i/>
                <w:iCs/>
              </w:rPr>
              <w:t>C. diff</w:t>
            </w:r>
            <w:r>
              <w:t xml:space="preserve">, fractures; </w:t>
            </w:r>
            <w:r>
              <w:rPr>
                <w:b/>
                <w:bCs/>
              </w:rPr>
              <w:t>Pregnancy/breastfeeding:</w:t>
            </w:r>
            <w:r>
              <w:t xml:space="preserve"> use only if clearly needed, do not breastfeed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6F8BCA21" w14:textId="77777777" w:rsidR="00771D91" w:rsidRDefault="00771D91" w:rsidP="00051EAE"/>
        </w:tc>
      </w:tr>
      <w:tr w:rsidR="00771D91" w14:paraId="4E16B322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19AACAA7" w14:textId="77777777" w:rsidR="00771D91" w:rsidRDefault="00771D91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82D1793" w14:textId="77777777" w:rsidR="00771D91" w:rsidRPr="00115E9A" w:rsidRDefault="00771D91" w:rsidP="00051EA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5E9A">
              <w:rPr>
                <w:rFonts w:asciiTheme="minorHAnsi" w:hAnsiTheme="minorHAnsi" w:cstheme="minorHAnsi"/>
                <w:b/>
                <w:bCs/>
              </w:rPr>
              <w:t>Side/ Adverse Effects: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4EE3102" w14:textId="77777777" w:rsidR="00771D91" w:rsidRDefault="00771D91" w:rsidP="00051EAE">
            <w:r w:rsidRPr="00F27080">
              <w:rPr>
                <w:b/>
                <w:bCs/>
              </w:rPr>
              <w:t>CNS</w:t>
            </w:r>
            <w:r>
              <w:t>: headache, insomnia, asthma, fatigue, malaise, somnolence</w:t>
            </w:r>
          </w:p>
          <w:p w14:paraId="40DABB98" w14:textId="77777777" w:rsidR="00771D91" w:rsidRDefault="00771D91" w:rsidP="00051EAE">
            <w:r w:rsidRPr="00F27080">
              <w:rPr>
                <w:b/>
                <w:bCs/>
              </w:rPr>
              <w:t>GI</w:t>
            </w:r>
            <w:r>
              <w:t>: diarrhea, abdominal pain, flatulence, pancreatitis, weight changes, CDAD</w:t>
            </w:r>
          </w:p>
          <w:p w14:paraId="225B93F5" w14:textId="77777777" w:rsidR="00771D91" w:rsidRDefault="00771D91" w:rsidP="00051EAE">
            <w:r w:rsidRPr="00F27080">
              <w:rPr>
                <w:b/>
                <w:bCs/>
              </w:rPr>
              <w:t>INTEG:</w:t>
            </w:r>
            <w:r>
              <w:t xml:space="preserve"> Rash</w:t>
            </w:r>
          </w:p>
          <w:p w14:paraId="2E47DA66" w14:textId="77777777" w:rsidR="00771D91" w:rsidRDefault="00771D91" w:rsidP="00051EAE">
            <w:r w:rsidRPr="00F27080">
              <w:rPr>
                <w:b/>
                <w:bCs/>
              </w:rPr>
              <w:t>META:</w:t>
            </w:r>
            <w:r>
              <w:t xml:space="preserve"> hyperglycemia, weight gain/loss, hyponatremia, hypomagnesemia, vitamin B12 deficiency </w:t>
            </w:r>
          </w:p>
          <w:p w14:paraId="15923DF8" w14:textId="77777777" w:rsidR="00771D91" w:rsidRDefault="00771D91" w:rsidP="00051EAE">
            <w:r w:rsidRPr="00F27080">
              <w:rPr>
                <w:b/>
                <w:bCs/>
              </w:rPr>
              <w:t>MS</w:t>
            </w:r>
            <w:r>
              <w:t>: myalgia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26600E70" w14:textId="77777777" w:rsidR="00771D91" w:rsidRDefault="00771D91" w:rsidP="00051EAE"/>
        </w:tc>
      </w:tr>
      <w:tr w:rsidR="00771D91" w14:paraId="2DE71CB9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57E2EE06" w14:textId="77777777" w:rsidR="00771D91" w:rsidRDefault="00771D91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7D251BE" w14:textId="77777777" w:rsidR="00771D91" w:rsidRPr="00115E9A" w:rsidRDefault="00771D91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Contraindications: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A96BFA4" w14:textId="77777777" w:rsidR="00771D91" w:rsidRDefault="00771D91" w:rsidP="00051EAE">
            <w:r>
              <w:t xml:space="preserve">Hypersensitivity to this product or benzimidazole; </w:t>
            </w:r>
            <w:r w:rsidRPr="00F27080">
              <w:rPr>
                <w:b/>
                <w:bCs/>
              </w:rPr>
              <w:t>Precautions</w:t>
            </w:r>
            <w:r>
              <w:t>: pregnancy, breastfeeding, children, proton pump hypersensitivity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2442B359" w14:textId="77777777" w:rsidR="00771D91" w:rsidRDefault="00771D91" w:rsidP="00051EAE"/>
        </w:tc>
      </w:tr>
      <w:tr w:rsidR="00771D91" w14:paraId="7FD416C3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1645B250" w14:textId="77777777" w:rsidR="00771D91" w:rsidRDefault="00771D91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AD65705" w14:textId="77777777" w:rsidR="00771D91" w:rsidRPr="00115E9A" w:rsidRDefault="00771D91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 w:rsidRPr="00115E9A">
              <w:rPr>
                <w:rFonts w:asciiTheme="minorHAnsi" w:hAnsiTheme="minorHAnsi" w:cstheme="minorHAnsi"/>
              </w:rPr>
              <w:t>Client Teaching: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BD517E2" w14:textId="77777777" w:rsidR="00771D91" w:rsidRDefault="00771D91" w:rsidP="00051EAE">
            <w:r>
              <w:t xml:space="preserve">To report severe diarrhea; black, tarry stools; abdominal pain; product may have to be discontinued; do not treat diarrhea with OTC products without approval of provider (CDAD); that hyperglycemia may occur in diabetic patients; to take as directed, not to skip of double dose; to avoid alcohol, salicylates, NSAIDs; may cause GI irritation; to continue taking even if feeling better; to notify prescriber if pregnancy or planning to become pregnancy; not to breastfeed </w:t>
            </w:r>
          </w:p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1902145E" w14:textId="77777777" w:rsidR="00771D91" w:rsidRDefault="00771D91" w:rsidP="00051EAE"/>
        </w:tc>
      </w:tr>
      <w:tr w:rsidR="00771D91" w14:paraId="5229F4B7" w14:textId="77777777" w:rsidTr="00051EAE">
        <w:trPr>
          <w:trHeight w:val="374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6A6A6" w:themeColor="background1" w:themeShade="A6"/>
            </w:tcBorders>
            <w:shd w:val="clear" w:color="auto" w:fill="D0CECE" w:themeFill="background2" w:themeFillShade="E6"/>
          </w:tcPr>
          <w:p w14:paraId="067A3506" w14:textId="77777777" w:rsidR="00771D91" w:rsidRDefault="00771D91" w:rsidP="00051EAE"/>
        </w:tc>
        <w:tc>
          <w:tcPr>
            <w:tcW w:w="2191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950D62A" w14:textId="77777777" w:rsidR="00771D91" w:rsidRPr="00115E9A" w:rsidRDefault="00771D91" w:rsidP="00051EAE">
            <w:pPr>
              <w:pStyle w:val="Heading3"/>
              <w:jc w:val="center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2899" w:type="dxa"/>
            <w:tcBorders>
              <w:top w:val="single" w:sz="18" w:space="0" w:color="A6A6A6" w:themeColor="background1" w:themeShade="A6"/>
              <w:left w:val="single" w:sz="18" w:space="0" w:color="A6A6A6" w:themeColor="background1" w:themeShade="A6"/>
              <w:bottom w:val="single" w:sz="18" w:space="0" w:color="A6A6A6" w:themeColor="background1" w:themeShade="A6"/>
              <w:right w:val="single" w:sz="18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D34B876" w14:textId="77777777" w:rsidR="00771D91" w:rsidRDefault="00771D91" w:rsidP="00051EAE"/>
        </w:tc>
        <w:tc>
          <w:tcPr>
            <w:tcW w:w="242" w:type="dxa"/>
            <w:tcBorders>
              <w:top w:val="nil"/>
              <w:left w:val="single" w:sz="18" w:space="0" w:color="A6A6A6" w:themeColor="background1" w:themeShade="A6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A957156" w14:textId="77777777" w:rsidR="00771D91" w:rsidRDefault="00771D91" w:rsidP="00051EAE"/>
        </w:tc>
      </w:tr>
      <w:tr w:rsidR="00771D91" w:rsidRPr="004109DF" w14:paraId="7C021425" w14:textId="77777777" w:rsidTr="00051EAE">
        <w:trPr>
          <w:trHeight w:val="30"/>
        </w:trPr>
        <w:tc>
          <w:tcPr>
            <w:tcW w:w="155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9DEFB7" w14:textId="77777777" w:rsidR="00771D91" w:rsidRPr="004109DF" w:rsidRDefault="00771D91" w:rsidP="00051EAE"/>
        </w:tc>
      </w:tr>
    </w:tbl>
    <w:p w14:paraId="563F286A" w14:textId="77777777" w:rsidR="0048006D" w:rsidRDefault="0048006D"/>
    <w:sectPr w:rsidR="0048006D" w:rsidSect="00771D9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91"/>
    <w:rsid w:val="0048006D"/>
    <w:rsid w:val="00771D91"/>
    <w:rsid w:val="00D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1B3A7"/>
  <w15:chartTrackingRefBased/>
  <w15:docId w15:val="{5427B2E2-3FE1-804E-A5ED-0DAE5D8C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91"/>
    <w:rPr>
      <w:rFonts w:ascii="Calibri" w:hAnsi="Calibri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D91"/>
    <w:pPr>
      <w:jc w:val="center"/>
      <w:outlineLvl w:val="0"/>
    </w:pPr>
    <w:rPr>
      <w:rFonts w:asciiTheme="majorHAnsi" w:eastAsia="Times New Roman" w:hAnsiTheme="majorHAnsi" w:cs="Tahoma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D91"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D91"/>
    <w:pPr>
      <w:outlineLvl w:val="2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D91"/>
    <w:rPr>
      <w:rFonts w:asciiTheme="majorHAnsi" w:eastAsia="Times New Roman" w:hAnsiTheme="majorHAnsi" w:cs="Tahoma"/>
      <w:b/>
      <w:color w:val="FFFFFF" w:themeColor="background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71D91"/>
    <w:rPr>
      <w:rFonts w:asciiTheme="majorHAnsi" w:hAnsiTheme="majorHAnsi"/>
      <w:b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71D91"/>
    <w:rPr>
      <w:rFonts w:asciiTheme="majorHAnsi" w:hAnsiTheme="majorHAnsi"/>
      <w:b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771D91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ward.brooklyn08@gmail.com</dc:creator>
  <cp:keywords/>
  <dc:description/>
  <cp:lastModifiedBy>ward.brooklyn08@gmail.com</cp:lastModifiedBy>
  <cp:revision>1</cp:revision>
  <dcterms:created xsi:type="dcterms:W3CDTF">2022-05-02T02:08:00Z</dcterms:created>
  <dcterms:modified xsi:type="dcterms:W3CDTF">2022-05-02T02:08:00Z</dcterms:modified>
</cp:coreProperties>
</file>